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7E1BD" w14:textId="7D0E5CEB" w:rsidR="00114BB3" w:rsidRDefault="00E91552">
      <w:pPr>
        <w:tabs>
          <w:tab w:val="left" w:pos="1985"/>
        </w:tabs>
        <w:spacing w:after="0"/>
        <w:jc w:val="both"/>
        <w:rPr>
          <w:rFonts w:ascii="Arial" w:hAnsi="Arial" w:cs="Arial"/>
          <w:b/>
          <w:sz w:val="24"/>
          <w:lang w:val="en-US"/>
        </w:rPr>
      </w:pPr>
      <w:r>
        <w:rPr>
          <w:rFonts w:ascii="Arial" w:hAnsi="Arial" w:cs="Arial"/>
          <w:b/>
          <w:sz w:val="24"/>
          <w:lang w:val="en-US"/>
        </w:rPr>
        <w:t>3GPP TSG RAN WG1 Meeting #96b</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t xml:space="preserve"> </w:t>
      </w:r>
      <w:r w:rsidR="00682F17" w:rsidRPr="00682F17">
        <w:rPr>
          <w:rFonts w:ascii="Arial" w:hAnsi="Arial" w:cs="Arial"/>
          <w:b/>
          <w:sz w:val="24"/>
          <w:lang w:val="en-US"/>
        </w:rPr>
        <w:t>1905639</w:t>
      </w:r>
      <w:bookmarkStart w:id="0" w:name="_GoBack"/>
      <w:bookmarkEnd w:id="0"/>
    </w:p>
    <w:p w14:paraId="0FF7E1BE" w14:textId="77777777" w:rsidR="00114BB3" w:rsidRDefault="00E91552">
      <w:pPr>
        <w:tabs>
          <w:tab w:val="left" w:pos="1985"/>
        </w:tabs>
        <w:spacing w:after="0"/>
        <w:jc w:val="both"/>
        <w:rPr>
          <w:rFonts w:ascii="Arial" w:hAnsi="Arial" w:cs="Arial"/>
          <w:b/>
          <w:sz w:val="24"/>
          <w:lang w:val="en-US"/>
        </w:rPr>
      </w:pPr>
      <w:r>
        <w:rPr>
          <w:rFonts w:ascii="Arial" w:hAnsi="Arial" w:cs="Arial"/>
          <w:b/>
          <w:sz w:val="24"/>
          <w:lang w:val="en-US"/>
        </w:rPr>
        <w:t>Xi’an, China, 8th April – 12th April, 2019</w:t>
      </w:r>
    </w:p>
    <w:p w14:paraId="0FF7E1BF" w14:textId="77777777" w:rsidR="00114BB3" w:rsidRDefault="00114BB3">
      <w:pPr>
        <w:tabs>
          <w:tab w:val="left" w:pos="1985"/>
        </w:tabs>
        <w:spacing w:after="0"/>
        <w:jc w:val="both"/>
        <w:rPr>
          <w:rFonts w:ascii="Arial" w:hAnsi="Arial" w:cs="Arial"/>
          <w:b/>
          <w:sz w:val="24"/>
        </w:rPr>
      </w:pPr>
    </w:p>
    <w:p w14:paraId="0FF7E1C0" w14:textId="77777777" w:rsidR="00114BB3" w:rsidRDefault="00E9155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rPr>
        <w:t>Intel Corporation</w:t>
      </w:r>
    </w:p>
    <w:p w14:paraId="0FF7E1C1" w14:textId="77777777" w:rsidR="00114BB3" w:rsidRDefault="00E91552">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 on Maintenance for UL Codebook based transmission</w:t>
      </w:r>
    </w:p>
    <w:p w14:paraId="0FF7E1C2" w14:textId="77777777" w:rsidR="00114BB3" w:rsidRDefault="00E91552">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7.1.2</w:t>
      </w:r>
    </w:p>
    <w:p w14:paraId="0FF7E1C3" w14:textId="77777777" w:rsidR="00114BB3" w:rsidRDefault="00E91552">
      <w:pPr>
        <w:spacing w:after="0"/>
        <w:ind w:left="1988" w:hanging="1988"/>
        <w:jc w:val="both"/>
        <w:rPr>
          <w:rFonts w:ascii="Arial" w:hAnsi="Arial" w:cs="Arial"/>
          <w:b/>
          <w:sz w:val="24"/>
          <w:lang w:val="en-US"/>
        </w:rPr>
      </w:pPr>
      <w:r>
        <w:rPr>
          <w:rFonts w:ascii="Arial" w:hAnsi="Arial" w:cs="Arial"/>
          <w:b/>
          <w:sz w:val="24"/>
          <w:lang w:val="en-US"/>
        </w:rPr>
        <w:t>Document for:</w:t>
      </w:r>
      <w:r>
        <w:rPr>
          <w:rFonts w:ascii="Arial" w:hAnsi="Arial" w:cs="Arial"/>
          <w:sz w:val="24"/>
          <w:lang w:val="en-US"/>
        </w:rPr>
        <w:tab/>
      </w:r>
      <w:r>
        <w:rPr>
          <w:rFonts w:ascii="Arial" w:hAnsi="Arial" w:cs="Arial"/>
          <w:b/>
          <w:sz w:val="24"/>
          <w:lang w:val="en-US"/>
        </w:rPr>
        <w:t>Discussion and Decision</w:t>
      </w:r>
    </w:p>
    <w:p w14:paraId="0FF7E1C4" w14:textId="77777777" w:rsidR="00114BB3" w:rsidRDefault="00114BB3">
      <w:pPr>
        <w:spacing w:after="0"/>
        <w:ind w:left="1988" w:hanging="1988"/>
        <w:jc w:val="both"/>
        <w:rPr>
          <w:rFonts w:ascii="Arial" w:hAnsi="Arial" w:cs="Arial"/>
          <w:sz w:val="24"/>
          <w:lang w:val="en-US"/>
        </w:rPr>
      </w:pPr>
    </w:p>
    <w:p w14:paraId="0FF7E1C5" w14:textId="77777777" w:rsidR="00114BB3" w:rsidRDefault="00E91552">
      <w:pPr>
        <w:pStyle w:val="Heading1"/>
        <w:numPr>
          <w:ilvl w:val="0"/>
          <w:numId w:val="7"/>
        </w:numPr>
        <w:spacing w:before="120" w:after="60"/>
        <w:jc w:val="both"/>
        <w:rPr>
          <w:rFonts w:cs="Arial"/>
          <w:lang w:val="en-US"/>
        </w:rPr>
      </w:pPr>
      <w:r>
        <w:rPr>
          <w:rFonts w:cs="Arial"/>
          <w:lang w:val="en-US"/>
        </w:rPr>
        <w:t>Introduction</w:t>
      </w:r>
    </w:p>
    <w:p w14:paraId="0FF7E1C6" w14:textId="77777777" w:rsidR="00114BB3" w:rsidRDefault="00E91552">
      <w:pPr>
        <w:ind w:firstLine="284"/>
        <w:jc w:val="both"/>
        <w:rPr>
          <w:sz w:val="22"/>
          <w:szCs w:val="22"/>
          <w:lang w:eastAsia="zh-CN"/>
        </w:rPr>
      </w:pPr>
      <w:r>
        <w:rPr>
          <w:sz w:val="22"/>
          <w:szCs w:val="22"/>
          <w:lang w:eastAsia="zh-CN"/>
        </w:rPr>
        <w:t>In this contribution, we provide feature lead summary on maintenance for UL codebook based transmission.</w:t>
      </w:r>
    </w:p>
    <w:p w14:paraId="0FF7E1C7" w14:textId="77777777" w:rsidR="00114BB3" w:rsidRDefault="00E91552">
      <w:pPr>
        <w:pStyle w:val="Heading1"/>
        <w:numPr>
          <w:ilvl w:val="0"/>
          <w:numId w:val="7"/>
        </w:numPr>
        <w:pBdr>
          <w:top w:val="single" w:sz="12" w:space="4" w:color="auto"/>
        </w:pBdr>
        <w:rPr>
          <w:rFonts w:cs="Arial"/>
          <w:lang w:val="en-US"/>
        </w:rPr>
      </w:pPr>
      <w:r>
        <w:rPr>
          <w:rFonts w:cs="Arial"/>
          <w:lang w:val="en-US"/>
        </w:rPr>
        <w:t>Draft CR</w:t>
      </w:r>
    </w:p>
    <w:p w14:paraId="0FF7E1C8" w14:textId="77777777" w:rsidR="00114BB3" w:rsidRDefault="00E91552">
      <w:pPr>
        <w:pStyle w:val="Heading2"/>
      </w:pPr>
      <w:r>
        <w:t>2.1 SRI and SRS association for configured grant based PUSCH</w:t>
      </w:r>
    </w:p>
    <w:p w14:paraId="0FF7E1C9" w14:textId="77777777" w:rsidR="00114BB3" w:rsidRDefault="00E91552">
      <w:pPr>
        <w:ind w:firstLine="284"/>
        <w:jc w:val="both"/>
        <w:rPr>
          <w:sz w:val="22"/>
          <w:szCs w:val="22"/>
        </w:rPr>
      </w:pPr>
      <w:r>
        <w:rPr>
          <w:sz w:val="22"/>
          <w:szCs w:val="22"/>
        </w:rPr>
        <w:t>It is proposed by ZTE in R1-1904754 that the SRI and SRS association for configured grant based PUSCH is unclear. Discussion paper can be found in R1-1904753.</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114BB3" w14:paraId="0FF7E1CD" w14:textId="77777777">
        <w:trPr>
          <w:trHeight w:val="1017"/>
        </w:trPr>
        <w:tc>
          <w:tcPr>
            <w:tcW w:w="2268" w:type="dxa"/>
            <w:tcBorders>
              <w:top w:val="single" w:sz="4" w:space="0" w:color="auto"/>
              <w:left w:val="single" w:sz="4" w:space="0" w:color="auto"/>
            </w:tcBorders>
          </w:tcPr>
          <w:p w14:paraId="0FF7E1CA" w14:textId="77777777" w:rsidR="00114BB3" w:rsidRDefault="00E91552">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0FF7E1CB" w14:textId="77777777" w:rsidR="00114BB3" w:rsidRDefault="00E91552">
            <w:pPr>
              <w:spacing w:after="0"/>
              <w:rPr>
                <w:iCs/>
                <w:lang w:val="en-US" w:eastAsia="zh-CN"/>
              </w:rPr>
            </w:pPr>
            <w:r>
              <w:rPr>
                <w:rFonts w:hint="eastAsia"/>
              </w:rPr>
              <w:t xml:space="preserve">In TS38.214 </w:t>
            </w:r>
            <w:r>
              <w:rPr>
                <w:rFonts w:hint="eastAsia"/>
                <w:lang w:val="en-US" w:eastAsia="zh-CN"/>
              </w:rPr>
              <w:t>for both codebook based and non-codebook transmission, PUSCH is based on the SRS resource(s) which are indicated by SRI. The indicated SRS resource(s) are the most recent transmission before the PDCCH carrying the SRI</w:t>
            </w:r>
            <w:r>
              <w:rPr>
                <w:rFonts w:hint="eastAsia"/>
                <w:iCs/>
                <w:lang w:val="en-US" w:eastAsia="zh-CN"/>
              </w:rPr>
              <w:t xml:space="preserve">. </w:t>
            </w:r>
          </w:p>
          <w:p w14:paraId="0FF7E1CC" w14:textId="77777777" w:rsidR="00114BB3" w:rsidRDefault="00E91552">
            <w:pPr>
              <w:spacing w:after="0"/>
              <w:rPr>
                <w:lang w:val="en-US" w:eastAsia="zh-CN"/>
              </w:rPr>
            </w:pPr>
            <w:r>
              <w:rPr>
                <w:rFonts w:hint="eastAsia"/>
                <w:iCs/>
                <w:lang w:val="en-US" w:eastAsia="zh-CN"/>
              </w:rPr>
              <w:t>However</w:t>
            </w:r>
            <w:proofErr w:type="gramStart"/>
            <w:r>
              <w:rPr>
                <w:rFonts w:hint="eastAsia"/>
                <w:iCs/>
                <w:lang w:val="en-US" w:eastAsia="zh-CN"/>
              </w:rPr>
              <w:t xml:space="preserve">, </w:t>
            </w:r>
            <w:r>
              <w:rPr>
                <w:rFonts w:hint="eastAsia"/>
                <w:color w:val="000000"/>
                <w:lang w:val="en-US" w:eastAsia="zh-CN"/>
              </w:rPr>
              <w:t xml:space="preserve"> for</w:t>
            </w:r>
            <w:proofErr w:type="gramEnd"/>
            <w:r>
              <w:rPr>
                <w:rFonts w:hint="eastAsia"/>
                <w:color w:val="000000"/>
                <w:lang w:val="en-US" w:eastAsia="zh-CN"/>
              </w:rPr>
              <w:t xml:space="preserve"> type 1 PUSCH transmission with a configured grant, the PUSCH transmission is configured by RRC signaling rather than triggered by a PDCCH. Therefore, the time domain </w:t>
            </w:r>
            <w:proofErr w:type="spellStart"/>
            <w:r>
              <w:rPr>
                <w:rFonts w:hint="eastAsia"/>
                <w:color w:val="000000"/>
                <w:lang w:val="en-US" w:eastAsia="zh-CN"/>
              </w:rPr>
              <w:t>behaviour</w:t>
            </w:r>
            <w:proofErr w:type="spellEnd"/>
            <w:r>
              <w:rPr>
                <w:rFonts w:hint="eastAsia"/>
                <w:color w:val="000000"/>
                <w:lang w:val="en-US" w:eastAsia="zh-CN"/>
              </w:rPr>
              <w:t xml:space="preserve"> of SRS resource identified by SRI is not clear for type 1 configured grant PUSCH.  If the SRS resource(s) informed by SRI is periodic, there is no ambiguity since the precoding and the spatial domain transmission filter of periodic SRS resource(s) is </w:t>
            </w:r>
            <w:proofErr w:type="gramStart"/>
            <w:r>
              <w:rPr>
                <w:rFonts w:hint="eastAsia"/>
                <w:color w:val="000000"/>
                <w:lang w:val="en-US" w:eastAsia="zh-CN"/>
              </w:rPr>
              <w:t>not</w:t>
            </w:r>
            <w:r>
              <w:rPr>
                <w:color w:val="000000"/>
                <w:lang w:val="en-US" w:eastAsia="zh-CN"/>
              </w:rPr>
              <w:t xml:space="preserve">  </w:t>
            </w:r>
            <w:r>
              <w:rPr>
                <w:rFonts w:hint="eastAsia"/>
                <w:color w:val="000000"/>
                <w:lang w:val="en-US" w:eastAsia="zh-CN"/>
              </w:rPr>
              <w:t>changed</w:t>
            </w:r>
            <w:proofErr w:type="gramEnd"/>
            <w:r>
              <w:rPr>
                <w:color w:val="000000"/>
                <w:lang w:val="en-US" w:eastAsia="zh-CN"/>
              </w:rPr>
              <w:t xml:space="preserve"> slot by slot usually</w:t>
            </w:r>
            <w:r>
              <w:rPr>
                <w:rFonts w:hint="eastAsia"/>
                <w:color w:val="000000"/>
                <w:lang w:val="en-US" w:eastAsia="zh-CN"/>
              </w:rPr>
              <w:t>. However</w:t>
            </w:r>
            <w:proofErr w:type="gramStart"/>
            <w:r>
              <w:rPr>
                <w:rFonts w:hint="eastAsia"/>
                <w:color w:val="000000"/>
                <w:lang w:val="en-US" w:eastAsia="zh-CN"/>
              </w:rPr>
              <w:t>,  if</w:t>
            </w:r>
            <w:proofErr w:type="gramEnd"/>
            <w:r>
              <w:rPr>
                <w:rFonts w:hint="eastAsia"/>
                <w:color w:val="000000"/>
                <w:lang w:val="en-US" w:eastAsia="zh-CN"/>
              </w:rPr>
              <w:t xml:space="preserve"> the SRS resource(s) identified by SRI is semi-persistent or aperiodic, the precoding and the spatial domain transmission filter of indicated SRS resource(s) may be changed faster than RRC signaling which triggers type 1 configured grant PUSCH transmission. Then, the time domain occasion of the SRS resource(s) for the type 1 configured grant PUSCH transmission is not clear</w:t>
            </w:r>
            <w:r>
              <w:rPr>
                <w:color w:val="000000"/>
                <w:lang w:val="en-US" w:eastAsia="zh-CN"/>
              </w:rPr>
              <w:t xml:space="preserve"> since there is no corresponding PDCCH carrying the SRI.</w:t>
            </w:r>
          </w:p>
        </w:tc>
      </w:tr>
      <w:tr w:rsidR="00114BB3" w14:paraId="0FF7E1D0" w14:textId="77777777">
        <w:tc>
          <w:tcPr>
            <w:tcW w:w="2268" w:type="dxa"/>
            <w:tcBorders>
              <w:left w:val="single" w:sz="4" w:space="0" w:color="auto"/>
            </w:tcBorders>
          </w:tcPr>
          <w:p w14:paraId="0FF7E1CE" w14:textId="77777777" w:rsidR="00114BB3" w:rsidRDefault="00114BB3">
            <w:pPr>
              <w:spacing w:after="0"/>
              <w:rPr>
                <w:rFonts w:ascii="Arial" w:hAnsi="Arial"/>
                <w:b/>
                <w:i/>
                <w:sz w:val="8"/>
                <w:szCs w:val="8"/>
              </w:rPr>
            </w:pPr>
          </w:p>
        </w:tc>
        <w:tc>
          <w:tcPr>
            <w:tcW w:w="7373" w:type="dxa"/>
            <w:tcBorders>
              <w:right w:val="single" w:sz="4" w:space="0" w:color="auto"/>
            </w:tcBorders>
          </w:tcPr>
          <w:p w14:paraId="0FF7E1CF" w14:textId="77777777" w:rsidR="00114BB3" w:rsidRDefault="00114BB3">
            <w:pPr>
              <w:spacing w:after="0"/>
              <w:rPr>
                <w:rFonts w:ascii="Arial" w:hAnsi="Arial"/>
                <w:sz w:val="8"/>
                <w:szCs w:val="8"/>
              </w:rPr>
            </w:pPr>
          </w:p>
        </w:tc>
      </w:tr>
      <w:tr w:rsidR="00114BB3" w14:paraId="0FF7E1D3" w14:textId="77777777">
        <w:tc>
          <w:tcPr>
            <w:tcW w:w="2268" w:type="dxa"/>
            <w:tcBorders>
              <w:left w:val="single" w:sz="4" w:space="0" w:color="auto"/>
            </w:tcBorders>
          </w:tcPr>
          <w:p w14:paraId="0FF7E1D1" w14:textId="77777777" w:rsidR="00114BB3" w:rsidRDefault="00E91552">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0FF7E1D2" w14:textId="77777777" w:rsidR="00114BB3" w:rsidRDefault="00E91552">
            <w:pPr>
              <w:pStyle w:val="ListParagraph"/>
              <w:ind w:left="0"/>
              <w:rPr>
                <w:rFonts w:eastAsia="宋体"/>
                <w:lang w:eastAsia="zh-CN"/>
              </w:rPr>
            </w:pPr>
            <w:r>
              <w:rPr>
                <w:rFonts w:eastAsia="宋体" w:hint="eastAsia"/>
                <w:lang w:eastAsia="zh-CN"/>
              </w:rPr>
              <w:t>Semi-persistent and aperiodic SRS are restricted for type 1 configured grant PUSCH.</w:t>
            </w:r>
          </w:p>
        </w:tc>
      </w:tr>
      <w:tr w:rsidR="00114BB3" w14:paraId="0FF7E1D6" w14:textId="77777777">
        <w:tc>
          <w:tcPr>
            <w:tcW w:w="2268" w:type="dxa"/>
            <w:tcBorders>
              <w:left w:val="single" w:sz="4" w:space="0" w:color="auto"/>
            </w:tcBorders>
          </w:tcPr>
          <w:p w14:paraId="0FF7E1D4" w14:textId="77777777" w:rsidR="00114BB3" w:rsidRDefault="00114BB3">
            <w:pPr>
              <w:spacing w:after="0"/>
              <w:rPr>
                <w:rFonts w:ascii="Arial" w:hAnsi="Arial"/>
                <w:b/>
                <w:i/>
                <w:sz w:val="8"/>
                <w:szCs w:val="8"/>
                <w:lang w:val="fr-FR"/>
              </w:rPr>
            </w:pPr>
          </w:p>
        </w:tc>
        <w:tc>
          <w:tcPr>
            <w:tcW w:w="7373" w:type="dxa"/>
            <w:tcBorders>
              <w:right w:val="single" w:sz="4" w:space="0" w:color="auto"/>
            </w:tcBorders>
          </w:tcPr>
          <w:p w14:paraId="0FF7E1D5" w14:textId="77777777" w:rsidR="00114BB3" w:rsidRDefault="00114BB3">
            <w:pPr>
              <w:spacing w:after="0"/>
              <w:rPr>
                <w:rFonts w:ascii="Arial" w:hAnsi="Arial"/>
                <w:sz w:val="8"/>
                <w:szCs w:val="8"/>
                <w:lang w:val="fr-FR"/>
              </w:rPr>
            </w:pPr>
          </w:p>
        </w:tc>
      </w:tr>
      <w:tr w:rsidR="00114BB3" w14:paraId="0FF7E1D9" w14:textId="77777777">
        <w:tc>
          <w:tcPr>
            <w:tcW w:w="2268" w:type="dxa"/>
            <w:tcBorders>
              <w:left w:val="single" w:sz="4" w:space="0" w:color="auto"/>
              <w:bottom w:val="single" w:sz="4" w:space="0" w:color="auto"/>
            </w:tcBorders>
          </w:tcPr>
          <w:p w14:paraId="0FF7E1D7" w14:textId="77777777" w:rsidR="00114BB3" w:rsidRDefault="00E91552">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0FF7E1D8" w14:textId="77777777" w:rsidR="00114BB3" w:rsidRDefault="00E91552">
            <w:pPr>
              <w:spacing w:after="0"/>
              <w:rPr>
                <w:lang w:val="en-US" w:eastAsia="zh-CN"/>
              </w:rPr>
            </w:pPr>
            <w:r>
              <w:rPr>
                <w:rFonts w:hint="eastAsia"/>
                <w:lang w:val="en-US" w:eastAsia="zh-CN"/>
              </w:rPr>
              <w:t xml:space="preserve">UE </w:t>
            </w:r>
            <w:proofErr w:type="spellStart"/>
            <w:r>
              <w:rPr>
                <w:rFonts w:hint="eastAsia"/>
                <w:lang w:val="en-US" w:eastAsia="zh-CN"/>
              </w:rPr>
              <w:t>behaviour</w:t>
            </w:r>
            <w:proofErr w:type="spellEnd"/>
            <w:r>
              <w:rPr>
                <w:rFonts w:hint="eastAsia"/>
                <w:lang w:val="en-US" w:eastAsia="zh-CN"/>
              </w:rPr>
              <w:t xml:space="preserve"> is not clear if Semi-persistent and aperiodic SRS resource(s) is identified by SRI for type 1 configured grant PUSCH.</w:t>
            </w:r>
          </w:p>
        </w:tc>
      </w:tr>
    </w:tbl>
    <w:p w14:paraId="0FF7E1DA" w14:textId="77777777" w:rsidR="00114BB3" w:rsidRDefault="00114BB3">
      <w:pPr>
        <w:ind w:firstLine="284"/>
        <w:jc w:val="both"/>
        <w:rPr>
          <w:sz w:val="22"/>
          <w:szCs w:val="22"/>
        </w:rPr>
      </w:pPr>
    </w:p>
    <w:p w14:paraId="0FF7E1DB" w14:textId="77777777" w:rsidR="00114BB3" w:rsidRDefault="00E91552">
      <w:pPr>
        <w:ind w:firstLine="284"/>
        <w:jc w:val="both"/>
        <w:rPr>
          <w:b/>
          <w:bCs/>
          <w:sz w:val="22"/>
          <w:szCs w:val="22"/>
        </w:rPr>
      </w:pPr>
      <w:r>
        <w:rPr>
          <w:rFonts w:hint="eastAsia"/>
          <w:b/>
          <w:bCs/>
          <w:sz w:val="22"/>
          <w:szCs w:val="22"/>
          <w:lang w:val="en-US" w:eastAsia="zh-CN"/>
        </w:rPr>
        <w:t xml:space="preserve">Alt. 1: </w:t>
      </w:r>
      <w:r>
        <w:rPr>
          <w:b/>
          <w:bCs/>
          <w:sz w:val="22"/>
          <w:szCs w:val="22"/>
        </w:rPr>
        <w:t>Proposal in R1-1904754:</w:t>
      </w:r>
    </w:p>
    <w:tbl>
      <w:tblPr>
        <w:tblStyle w:val="TableGrid"/>
        <w:tblW w:w="10160" w:type="dxa"/>
        <w:tblLayout w:type="fixed"/>
        <w:tblLook w:val="04A0" w:firstRow="1" w:lastRow="0" w:firstColumn="1" w:lastColumn="0" w:noHBand="0" w:noVBand="1"/>
      </w:tblPr>
      <w:tblGrid>
        <w:gridCol w:w="10160"/>
      </w:tblGrid>
      <w:tr w:rsidR="00114BB3" w14:paraId="0FF7E1E2" w14:textId="77777777">
        <w:tc>
          <w:tcPr>
            <w:tcW w:w="10160" w:type="dxa"/>
          </w:tcPr>
          <w:p w14:paraId="0FF7E1DC" w14:textId="77777777" w:rsidR="00114BB3" w:rsidRDefault="00E91552">
            <w:pPr>
              <w:pStyle w:val="Heading4"/>
              <w:outlineLvl w:val="3"/>
              <w:rPr>
                <w:color w:val="000000"/>
              </w:rPr>
            </w:pPr>
            <w:bookmarkStart w:id="1" w:name="_Toc4508148"/>
            <w:r>
              <w:rPr>
                <w:color w:val="000000"/>
              </w:rPr>
              <w:lastRenderedPageBreak/>
              <w:t>6.1.1.1</w:t>
            </w:r>
            <w:r>
              <w:rPr>
                <w:color w:val="000000"/>
              </w:rPr>
              <w:tab/>
              <w:t>Codebook based UL transmission</w:t>
            </w:r>
            <w:bookmarkEnd w:id="1"/>
          </w:p>
          <w:p w14:paraId="0FF7E1DD" w14:textId="77777777" w:rsidR="00114BB3" w:rsidRDefault="00E91552">
            <w:pPr>
              <w:rPr>
                <w:color w:val="000000"/>
              </w:rPr>
            </w:pPr>
            <w:r>
              <w:rPr>
                <w:color w:val="000000"/>
              </w:rPr>
              <w:t xml:space="preserve">For codebook based transmission, PUSCH can be scheduled by DCI format 0_0, DCI format 0_1 or semi-statically configured to operate according to Subclause 6.1.2.3. If this PUSCH is scheduled by DCI format 0_1, or semi-statically configured to operate according to Subclause 6.1.2.3, the UE determines its PUSCH transmission precoder based on SRI, TPMI and the transmission rank, where the SRI, TPMI and the transmission rank are given by DCI fields of SRS resource indicator and Precoding information and number of layers in subclause 7.3.1.1.2 of [5, TS 38.212] or given by </w:t>
            </w:r>
            <w:proofErr w:type="spellStart"/>
            <w:r>
              <w:rPr>
                <w:i/>
                <w:color w:val="000000"/>
              </w:rPr>
              <w:t>srs-ResourceIndicator</w:t>
            </w:r>
            <w:proofErr w:type="spellEnd"/>
            <w:r>
              <w:rPr>
                <w:color w:val="000000"/>
              </w:rPr>
              <w:t xml:space="preserve"> and </w:t>
            </w:r>
            <w:proofErr w:type="spellStart"/>
            <w:r>
              <w:rPr>
                <w:i/>
                <w:color w:val="000000"/>
              </w:rPr>
              <w:t>precodingAndNumberOfLayers</w:t>
            </w:r>
            <w:proofErr w:type="spellEnd"/>
            <w:r>
              <w:rPr>
                <w:color w:val="000000"/>
              </w:rPr>
              <w:t xml:space="preserve"> according to subclause 6.1.2.3.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Subclause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w:t>
            </w:r>
            <w:r>
              <w:rPr>
                <w:color w:val="FF0000"/>
                <w:lang w:val="en-US"/>
              </w:rPr>
              <w:t xml:space="preserve">If the UL transmission is Type 1 PUSCH transmission with a configured grant, the time domain behavior of the SRS resource identified by SRI configured in </w:t>
            </w:r>
            <w:proofErr w:type="spellStart"/>
            <w:r>
              <w:rPr>
                <w:i/>
                <w:iCs/>
                <w:color w:val="FF0000"/>
                <w:lang w:val="en-US"/>
              </w:rPr>
              <w:t>rrc-ConfiguredUplinkGrant</w:t>
            </w:r>
            <w:proofErr w:type="spellEnd"/>
            <w:r>
              <w:rPr>
                <w:color w:val="FF0000"/>
                <w:lang w:val="en-US"/>
              </w:rPr>
              <w:t xml:space="preserve"> shall be periodic, where the SRS transmission is prior to the PUSCH transmission. Otherwise,</w:t>
            </w:r>
            <w:r>
              <w:rPr>
                <w:rFonts w:hint="eastAsia"/>
                <w:color w:val="000000"/>
                <w:lang w:val="en-US" w:eastAsia="zh-CN"/>
              </w:rPr>
              <w:t xml:space="preserve"> </w:t>
            </w:r>
            <w:r>
              <w:rPr>
                <w:strike/>
                <w:color w:val="000000"/>
                <w:sz w:val="21"/>
                <w:szCs w:val="22"/>
                <w:lang w:val="en-US" w:eastAsia="zh-CN"/>
              </w:rPr>
              <w:t>T</w:t>
            </w:r>
            <w:r>
              <w:rPr>
                <w:rFonts w:hint="eastAsia"/>
                <w:color w:val="FF0000"/>
                <w:lang w:val="en-US" w:eastAsia="zh-CN"/>
              </w:rPr>
              <w:t>t</w:t>
            </w:r>
            <w:r>
              <w:rPr>
                <w:color w:val="000000"/>
              </w:rPr>
              <w:t xml:space="preserve">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0FF7E1DE" w14:textId="77777777" w:rsidR="00114BB3" w:rsidRDefault="00E91552">
            <w:pPr>
              <w:spacing w:beforeLines="50" w:afterLines="50" w:after="120"/>
              <w:jc w:val="center"/>
            </w:pPr>
            <w:r>
              <w:rPr>
                <w:rFonts w:hint="eastAsia"/>
                <w:color w:val="FF0000"/>
                <w:sz w:val="32"/>
                <w:szCs w:val="32"/>
                <w:lang w:val="en-US" w:eastAsia="zh-CN"/>
              </w:rPr>
              <w:t>&lt;Unchanged part omitted&gt;</w:t>
            </w:r>
          </w:p>
          <w:p w14:paraId="0FF7E1DF" w14:textId="77777777" w:rsidR="00114BB3" w:rsidRDefault="00E91552">
            <w:pPr>
              <w:pStyle w:val="Heading4"/>
              <w:outlineLvl w:val="3"/>
              <w:rPr>
                <w:color w:val="000000"/>
              </w:rPr>
            </w:pPr>
            <w:bookmarkStart w:id="2" w:name="_Toc4508149"/>
            <w:r>
              <w:rPr>
                <w:color w:val="000000"/>
              </w:rPr>
              <w:t>6.1.1.2</w:t>
            </w:r>
            <w:r>
              <w:rPr>
                <w:color w:val="000000"/>
              </w:rPr>
              <w:tab/>
              <w:t>Non-Codebook based UL transmission</w:t>
            </w:r>
            <w:bookmarkEnd w:id="2"/>
          </w:p>
          <w:p w14:paraId="0FF7E1E0" w14:textId="77777777" w:rsidR="00114BB3" w:rsidRDefault="00E91552">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proofErr w:type="spellStart"/>
            <w:r>
              <w:rPr>
                <w:i/>
                <w:color w:val="000000"/>
              </w:rPr>
              <w:t>srs-ResourceIndicator</w:t>
            </w:r>
            <w:proofErr w:type="spellEnd"/>
            <w:r>
              <w:rPr>
                <w:color w:val="000000"/>
              </w:rPr>
              <w:t xml:space="preserve"> according to </w:t>
            </w:r>
            <w:proofErr w:type="spellStart"/>
            <w:r>
              <w:rPr>
                <w:color w:val="000000"/>
              </w:rPr>
              <w:t>subclause</w:t>
            </w:r>
            <w:proofErr w:type="spellEnd"/>
            <w:r>
              <w:rPr>
                <w:color w:val="000000"/>
              </w:rPr>
              <w:t xml:space="preserve"> 6.1.2.3</w:t>
            </w:r>
            <w:bookmarkStart w:id="3" w:name="_Hlk494787623"/>
            <w:r>
              <w:rPr>
                <w:color w:val="000000"/>
              </w:rPr>
              <w:t xml:space="preserve">. </w:t>
            </w:r>
            <w:bookmarkEnd w:id="3"/>
            <w:r>
              <w:rPr>
                <w:color w:val="00000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proofErr w:type="spellStart"/>
            <w:r>
              <w:rPr>
                <w:color w:val="000000"/>
              </w:rPr>
              <w:t>nonCodebook</w:t>
            </w:r>
            <w:proofErr w:type="spellEnd"/>
            <w:r>
              <w:rPr>
                <w:color w:val="000000"/>
              </w:rPr>
              <w:t xml:space="preserve">'. The maximum number of SRS resources that can be configured for non-codebook based uplink transmission is 4. </w:t>
            </w:r>
            <w:r>
              <w:rPr>
                <w:color w:val="FF0000"/>
                <w:lang w:val="en-US"/>
              </w:rPr>
              <w:t xml:space="preserve">If the UL transmission is Type 1 PUSCH transmission with a configured grant, the time domain behavior of the SRS resource(s) identified by SRI configured in </w:t>
            </w:r>
            <w:proofErr w:type="spellStart"/>
            <w:r>
              <w:rPr>
                <w:i/>
                <w:iCs/>
                <w:color w:val="FF0000"/>
                <w:lang w:val="en-US"/>
              </w:rPr>
              <w:t>rrc-ConfiguredUplinkGrant</w:t>
            </w:r>
            <w:proofErr w:type="spellEnd"/>
            <w:r>
              <w:rPr>
                <w:color w:val="FF0000"/>
                <w:lang w:val="en-US"/>
              </w:rPr>
              <w:t xml:space="preserve"> shall be periodic, where the SRS transmission is prior to the PUSCH transmission. </w:t>
            </w:r>
            <w:proofErr w:type="spellStart"/>
            <w:r>
              <w:rPr>
                <w:color w:val="FF0000"/>
                <w:lang w:val="en-US"/>
              </w:rPr>
              <w:t>Otherwise</w:t>
            </w:r>
            <w:proofErr w:type="gramStart"/>
            <w:r>
              <w:rPr>
                <w:color w:val="FF0000"/>
                <w:lang w:val="en-US"/>
              </w:rPr>
              <w:t>,</w:t>
            </w:r>
            <w:r>
              <w:rPr>
                <w:strike/>
                <w:color w:val="000000"/>
                <w:lang w:val="en-US" w:eastAsia="zh-CN"/>
              </w:rPr>
              <w:t>T</w:t>
            </w:r>
            <w:r>
              <w:rPr>
                <w:rFonts w:hint="eastAsia"/>
                <w:color w:val="FF0000"/>
                <w:lang w:val="en-US" w:eastAsia="zh-CN"/>
              </w:rPr>
              <w:t>t</w:t>
            </w:r>
            <w:proofErr w:type="spellEnd"/>
            <w:r>
              <w:rPr>
                <w:color w:val="000000"/>
              </w:rPr>
              <w:t>he</w:t>
            </w:r>
            <w:proofErr w:type="gramEnd"/>
            <w:r>
              <w:rPr>
                <w:color w:val="000000"/>
              </w:rPr>
              <w:t xml:space="preserv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0FF7E1E1" w14:textId="77777777" w:rsidR="00114BB3" w:rsidRDefault="00114BB3">
            <w:pPr>
              <w:rPr>
                <w:sz w:val="22"/>
                <w:szCs w:val="22"/>
              </w:rPr>
            </w:pPr>
          </w:p>
        </w:tc>
      </w:tr>
    </w:tbl>
    <w:p w14:paraId="0FF7E1E3" w14:textId="77777777" w:rsidR="00114BB3" w:rsidRDefault="00114BB3">
      <w:pPr>
        <w:ind w:firstLine="284"/>
        <w:jc w:val="both"/>
        <w:rPr>
          <w:sz w:val="22"/>
          <w:szCs w:val="22"/>
        </w:rPr>
      </w:pPr>
    </w:p>
    <w:p w14:paraId="0FF7E1E4" w14:textId="77777777" w:rsidR="00114BB3" w:rsidRDefault="00E91552">
      <w:pPr>
        <w:ind w:firstLine="284"/>
        <w:jc w:val="both"/>
        <w:rPr>
          <w:b/>
          <w:bCs/>
          <w:sz w:val="22"/>
          <w:szCs w:val="22"/>
          <w:lang w:val="en-US" w:eastAsia="zh-CN"/>
        </w:rPr>
      </w:pPr>
      <w:r>
        <w:rPr>
          <w:rFonts w:hint="eastAsia"/>
          <w:b/>
          <w:bCs/>
          <w:sz w:val="22"/>
          <w:szCs w:val="22"/>
          <w:lang w:val="en-US" w:eastAsia="zh-CN"/>
        </w:rPr>
        <w:t>Alt.2: the SRS transmission is</w:t>
      </w:r>
      <w:r>
        <w:rPr>
          <w:b/>
          <w:bCs/>
          <w:sz w:val="22"/>
          <w:szCs w:val="22"/>
          <w:lang w:val="en-US" w:eastAsia="zh-CN"/>
        </w:rPr>
        <w:t xml:space="preserve"> at least</w:t>
      </w:r>
      <w:r>
        <w:rPr>
          <w:rFonts w:hint="eastAsia"/>
          <w:b/>
          <w:bCs/>
          <w:sz w:val="22"/>
          <w:szCs w:val="22"/>
          <w:lang w:val="en-US" w:eastAsia="zh-CN"/>
        </w:rPr>
        <w:t xml:space="preserve"> N</w:t>
      </w:r>
      <w:r>
        <w:rPr>
          <w:rFonts w:hint="eastAsia"/>
          <w:b/>
          <w:bCs/>
          <w:sz w:val="22"/>
          <w:szCs w:val="22"/>
          <w:vertAlign w:val="subscript"/>
          <w:lang w:val="en-US" w:eastAsia="zh-CN"/>
        </w:rPr>
        <w:t>2</w:t>
      </w:r>
      <w:r>
        <w:rPr>
          <w:rFonts w:hint="eastAsia"/>
          <w:b/>
          <w:bCs/>
          <w:sz w:val="22"/>
          <w:szCs w:val="22"/>
          <w:lang w:val="en-US" w:eastAsia="zh-CN"/>
        </w:rPr>
        <w:t xml:space="preserve"> symbols before type 1 configured grant PUSCH</w:t>
      </w:r>
    </w:p>
    <w:tbl>
      <w:tblPr>
        <w:tblStyle w:val="TableGrid"/>
        <w:tblW w:w="10160" w:type="dxa"/>
        <w:tblLayout w:type="fixed"/>
        <w:tblLook w:val="04A0" w:firstRow="1" w:lastRow="0" w:firstColumn="1" w:lastColumn="0" w:noHBand="0" w:noVBand="1"/>
      </w:tblPr>
      <w:tblGrid>
        <w:gridCol w:w="10160"/>
      </w:tblGrid>
      <w:tr w:rsidR="00114BB3" w14:paraId="0FF7E1EC" w14:textId="77777777">
        <w:tc>
          <w:tcPr>
            <w:tcW w:w="10160" w:type="dxa"/>
          </w:tcPr>
          <w:p w14:paraId="0FF7E1E5" w14:textId="77777777" w:rsidR="00114BB3" w:rsidRDefault="00E91552">
            <w:pPr>
              <w:pStyle w:val="Heading4"/>
              <w:outlineLvl w:val="3"/>
              <w:rPr>
                <w:color w:val="000000"/>
              </w:rPr>
            </w:pPr>
            <w:r>
              <w:rPr>
                <w:color w:val="000000"/>
              </w:rPr>
              <w:lastRenderedPageBreak/>
              <w:t>6.1.1.1</w:t>
            </w:r>
            <w:r>
              <w:rPr>
                <w:color w:val="000000"/>
              </w:rPr>
              <w:tab/>
              <w:t>Codebook based UL transmission</w:t>
            </w:r>
          </w:p>
          <w:p w14:paraId="0FF7E1E6" w14:textId="77777777" w:rsidR="00114BB3" w:rsidRDefault="00E91552">
            <w:pPr>
              <w:rPr>
                <w:color w:val="000000"/>
              </w:rPr>
            </w:pPr>
            <w:r>
              <w:rPr>
                <w:color w:val="000000"/>
              </w:rPr>
              <w:t xml:space="preserve">For codebook based transmission, PUSCH can be scheduled by DCI format 0_0, DCI format 0_1 or semi-statically configured to operate according to Subclause 6.1.2.3. If this PUSCH is scheduled by DCI format 0_1, or semi-statically configured to operate according to Subclause 6.1.2.3, the UE determines its PUSCH transmission precoder based on SRI, TPMI and the transmission rank, where the SRI, TPMI and the transmission rank are given by DCI fields of SRS resource indicator and Precoding information and number of layers in subclause 7.3.1.1.2 of [5, TS 38.212] or given by </w:t>
            </w:r>
            <w:proofErr w:type="spellStart"/>
            <w:r>
              <w:rPr>
                <w:i/>
                <w:color w:val="000000"/>
              </w:rPr>
              <w:t>srs-ResourceIndicator</w:t>
            </w:r>
            <w:proofErr w:type="spellEnd"/>
            <w:r>
              <w:rPr>
                <w:color w:val="000000"/>
              </w:rPr>
              <w:t xml:space="preserve"> and </w:t>
            </w:r>
            <w:proofErr w:type="spellStart"/>
            <w:r>
              <w:rPr>
                <w:i/>
                <w:color w:val="000000"/>
              </w:rPr>
              <w:t>precodingAndNumberOfLayers</w:t>
            </w:r>
            <w:proofErr w:type="spellEnd"/>
            <w:r>
              <w:rPr>
                <w:color w:val="000000"/>
              </w:rPr>
              <w:t xml:space="preserve"> according to subclause 6.1.2.3.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Subclause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w:t>
            </w:r>
            <w:r>
              <w:rPr>
                <w:color w:val="FF0000"/>
                <w:lang w:val="en-US"/>
              </w:rPr>
              <w:t xml:space="preserve">If the UL transmission is Type 1 PUSCH transmission with a configured grant, the SRI configured in </w:t>
            </w:r>
            <w:proofErr w:type="spellStart"/>
            <w:r>
              <w:rPr>
                <w:i/>
                <w:iCs/>
                <w:color w:val="FF0000"/>
                <w:lang w:val="en-US"/>
              </w:rPr>
              <w:t>rrc-ConfiguredUplinkGrant</w:t>
            </w:r>
            <w:proofErr w:type="spellEnd"/>
            <w:r>
              <w:rPr>
                <w:color w:val="FF0000"/>
                <w:lang w:val="en-US"/>
              </w:rPr>
              <w:t xml:space="preserve"> </w:t>
            </w:r>
            <w:r>
              <w:rPr>
                <w:rFonts w:hint="eastAsia"/>
                <w:color w:val="FF0000"/>
                <w:lang w:val="en-US" w:eastAsia="zh-CN"/>
              </w:rPr>
              <w:t xml:space="preserve">is associated with </w:t>
            </w:r>
            <w:r>
              <w:rPr>
                <w:color w:val="FF0000"/>
              </w:rPr>
              <w:t xml:space="preserve">SRS resource identified by the SRI, where the SRS </w:t>
            </w:r>
            <w:r>
              <w:rPr>
                <w:rFonts w:hint="eastAsia"/>
                <w:color w:val="FF0000"/>
                <w:lang w:val="en-US" w:eastAsia="zh-CN"/>
              </w:rPr>
              <w:t xml:space="preserve">transmission </w:t>
            </w:r>
            <w:r>
              <w:rPr>
                <w:color w:val="FF0000"/>
              </w:rPr>
              <w:t>is</w:t>
            </w:r>
            <w:r>
              <w:rPr>
                <w:rFonts w:hint="eastAsia"/>
                <w:color w:val="FF0000"/>
                <w:lang w:val="en-US" w:eastAsia="zh-CN"/>
              </w:rPr>
              <w:t xml:space="preserve"> </w:t>
            </w:r>
            <w:r>
              <w:rPr>
                <w:color w:val="FF0000"/>
                <w:lang w:val="en-US" w:eastAsia="zh-CN"/>
              </w:rPr>
              <w:t xml:space="preserve">at least </w:t>
            </w:r>
            <w:r>
              <w:rPr>
                <w:rFonts w:hint="eastAsia"/>
                <w:color w:val="FF0000"/>
                <w:lang w:val="en-US" w:eastAsia="zh-CN"/>
              </w:rPr>
              <w:t>N</w:t>
            </w:r>
            <w:r>
              <w:rPr>
                <w:rFonts w:hint="eastAsia"/>
                <w:color w:val="FF0000"/>
                <w:vertAlign w:val="subscript"/>
                <w:lang w:val="en-US" w:eastAsia="zh-CN"/>
              </w:rPr>
              <w:t>2</w:t>
            </w:r>
            <w:r>
              <w:rPr>
                <w:rFonts w:hint="eastAsia"/>
                <w:color w:val="FF0000"/>
                <w:lang w:val="en-US" w:eastAsia="zh-CN"/>
              </w:rPr>
              <w:t xml:space="preserve"> symbols</w:t>
            </w:r>
            <w:r>
              <w:rPr>
                <w:color w:val="FF0000"/>
              </w:rPr>
              <w:t xml:space="preserve"> prior to the P</w:t>
            </w:r>
            <w:r>
              <w:rPr>
                <w:rFonts w:hint="eastAsia"/>
                <w:color w:val="FF0000"/>
                <w:lang w:val="en-US" w:eastAsia="zh-CN"/>
              </w:rPr>
              <w:t>US</w:t>
            </w:r>
            <w:r>
              <w:rPr>
                <w:color w:val="FF0000"/>
              </w:rPr>
              <w:t xml:space="preserve">CH </w:t>
            </w:r>
            <w:r>
              <w:rPr>
                <w:rFonts w:hint="eastAsia"/>
                <w:color w:val="FF0000"/>
                <w:lang w:val="en-US" w:eastAsia="zh-CN"/>
              </w:rPr>
              <w:t>transmission, N</w:t>
            </w:r>
            <w:r>
              <w:rPr>
                <w:rFonts w:hint="eastAsia"/>
                <w:color w:val="FF0000"/>
                <w:vertAlign w:val="subscript"/>
                <w:lang w:val="en-US" w:eastAsia="zh-CN"/>
              </w:rPr>
              <w:t>2</w:t>
            </w:r>
            <w:r>
              <w:rPr>
                <w:rFonts w:hint="eastAsia"/>
                <w:color w:val="FF0000"/>
                <w:lang w:val="en-US" w:eastAsia="zh-CN"/>
              </w:rPr>
              <w:t xml:space="preserve"> is described in Subclause 6.4</w:t>
            </w:r>
            <w:r>
              <w:rPr>
                <w:color w:val="FF0000"/>
                <w:lang w:val="en-US"/>
              </w:rPr>
              <w:t>. Otherwise,</w:t>
            </w:r>
            <w:r>
              <w:rPr>
                <w:rFonts w:hint="eastAsia"/>
                <w:color w:val="000000"/>
                <w:lang w:val="en-US" w:eastAsia="zh-CN"/>
              </w:rPr>
              <w:t xml:space="preserve"> </w:t>
            </w:r>
            <w:r>
              <w:rPr>
                <w:strike/>
                <w:color w:val="000000"/>
                <w:sz w:val="21"/>
                <w:szCs w:val="22"/>
                <w:lang w:val="en-US" w:eastAsia="zh-CN"/>
              </w:rPr>
              <w:t>T</w:t>
            </w:r>
            <w:r>
              <w:rPr>
                <w:rFonts w:hint="eastAsia"/>
                <w:color w:val="FF0000"/>
                <w:lang w:val="en-US" w:eastAsia="zh-CN"/>
              </w:rPr>
              <w:t>t</w:t>
            </w:r>
            <w:r>
              <w:rPr>
                <w:color w:val="000000"/>
              </w:rPr>
              <w:t xml:space="preserve">he indicated SRI in slot </w:t>
            </w:r>
            <w:r>
              <w:rPr>
                <w:i/>
                <w:color w:val="000000"/>
              </w:rPr>
              <w:t>n</w:t>
            </w:r>
            <w:r>
              <w:rPr>
                <w:color w:val="000000"/>
              </w:rPr>
              <w:t xml:space="preserve"> is associated with the most recent transmission of SRS resource identified by the SRI, where the SRS</w:t>
            </w:r>
            <w:r>
              <w:rPr>
                <w:rFonts w:hint="eastAsia"/>
                <w:color w:val="000000"/>
                <w:lang w:val="en-US" w:eastAsia="zh-CN"/>
              </w:rPr>
              <w:t xml:space="preserve"> </w:t>
            </w:r>
            <w:proofErr w:type="gramStart"/>
            <w:r>
              <w:rPr>
                <w:rFonts w:hint="eastAsia"/>
                <w:color w:val="FF0000"/>
                <w:lang w:val="en-US" w:eastAsia="zh-CN"/>
              </w:rPr>
              <w:t>transmission</w:t>
            </w:r>
            <w:r>
              <w:rPr>
                <w:rFonts w:hint="eastAsia"/>
                <w:color w:val="000000"/>
                <w:lang w:val="en-US" w:eastAsia="zh-CN"/>
              </w:rPr>
              <w:t xml:space="preserve"> </w:t>
            </w:r>
            <w:r>
              <w:rPr>
                <w:color w:val="000000"/>
              </w:rPr>
              <w:t xml:space="preserve"> </w:t>
            </w:r>
            <w:r>
              <w:rPr>
                <w:strike/>
                <w:color w:val="000000"/>
              </w:rPr>
              <w:t>resource</w:t>
            </w:r>
            <w:proofErr w:type="gramEnd"/>
            <w:r>
              <w:rPr>
                <w:strike/>
                <w:color w:val="000000"/>
              </w:rPr>
              <w:t xml:space="preserve"> </w:t>
            </w:r>
            <w:r>
              <w:rPr>
                <w:color w:val="000000"/>
              </w:rPr>
              <w:t>is prior to the PDCCH carrying the SRI.</w:t>
            </w:r>
          </w:p>
          <w:p w14:paraId="0FF7E1E7" w14:textId="77777777" w:rsidR="00114BB3" w:rsidRDefault="00E91552">
            <w:pPr>
              <w:spacing w:beforeLines="50" w:afterLines="50" w:after="120"/>
              <w:jc w:val="center"/>
            </w:pPr>
            <w:r>
              <w:rPr>
                <w:rFonts w:hint="eastAsia"/>
                <w:color w:val="FF0000"/>
                <w:sz w:val="32"/>
                <w:szCs w:val="32"/>
                <w:lang w:val="en-US" w:eastAsia="zh-CN"/>
              </w:rPr>
              <w:t>&lt;Unchanged part omitted&gt;</w:t>
            </w:r>
          </w:p>
          <w:p w14:paraId="0FF7E1E8" w14:textId="77777777" w:rsidR="00114BB3" w:rsidRDefault="00E91552">
            <w:pPr>
              <w:pStyle w:val="Heading4"/>
              <w:outlineLvl w:val="3"/>
              <w:rPr>
                <w:color w:val="000000"/>
              </w:rPr>
            </w:pPr>
            <w:r>
              <w:rPr>
                <w:color w:val="000000"/>
              </w:rPr>
              <w:t>6.1.1.2</w:t>
            </w:r>
            <w:r>
              <w:rPr>
                <w:color w:val="000000"/>
              </w:rPr>
              <w:tab/>
              <w:t>Non-Codebook based UL transmission</w:t>
            </w:r>
          </w:p>
          <w:p w14:paraId="0FF7E1E9" w14:textId="77777777" w:rsidR="00114BB3" w:rsidRDefault="00E91552">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proofErr w:type="spellStart"/>
            <w:r>
              <w:rPr>
                <w:i/>
                <w:color w:val="000000"/>
              </w:rPr>
              <w:t>srs-ResourceIndicator</w:t>
            </w:r>
            <w:proofErr w:type="spellEnd"/>
            <w:r>
              <w:rPr>
                <w:color w:val="000000"/>
              </w:rPr>
              <w:t xml:space="preserve"> according to </w:t>
            </w:r>
            <w:proofErr w:type="spellStart"/>
            <w:r>
              <w:rPr>
                <w:color w:val="000000"/>
              </w:rPr>
              <w:t>subclause</w:t>
            </w:r>
            <w:proofErr w:type="spellEnd"/>
            <w:r>
              <w:rPr>
                <w:color w:val="000000"/>
              </w:rPr>
              <w:t xml:space="preserve"> 6.1.2.3. 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proofErr w:type="spellStart"/>
            <w:r>
              <w:rPr>
                <w:color w:val="000000"/>
              </w:rPr>
              <w:t>nonCodebook</w:t>
            </w:r>
            <w:proofErr w:type="spellEnd"/>
            <w:r>
              <w:rPr>
                <w:color w:val="000000"/>
              </w:rPr>
              <w:t xml:space="preserve">'. The maximum number of SRS resources that can be configured for non-codebook based uplink transmission is 4. </w:t>
            </w:r>
            <w:r>
              <w:rPr>
                <w:color w:val="FF0000"/>
                <w:lang w:val="en-US"/>
              </w:rPr>
              <w:t xml:space="preserve">If the UL transmission is Type 1 PUSCH transmission with a configured grant, the SRI configured in </w:t>
            </w:r>
            <w:proofErr w:type="spellStart"/>
            <w:r>
              <w:rPr>
                <w:i/>
                <w:iCs/>
                <w:color w:val="FF0000"/>
                <w:lang w:val="en-US"/>
              </w:rPr>
              <w:t>rrc-ConfiguredUplinkGrant</w:t>
            </w:r>
            <w:proofErr w:type="spellEnd"/>
            <w:r>
              <w:rPr>
                <w:color w:val="FF0000"/>
                <w:lang w:val="en-US"/>
              </w:rPr>
              <w:t xml:space="preserve"> </w:t>
            </w:r>
            <w:r>
              <w:rPr>
                <w:rFonts w:hint="eastAsia"/>
                <w:color w:val="FF0000"/>
                <w:lang w:val="en-US" w:eastAsia="zh-CN"/>
              </w:rPr>
              <w:t xml:space="preserve">is associated with the </w:t>
            </w:r>
            <w:r>
              <w:rPr>
                <w:color w:val="FF0000"/>
              </w:rPr>
              <w:t>SRS resource</w:t>
            </w:r>
            <w:r>
              <w:rPr>
                <w:rFonts w:hint="eastAsia"/>
                <w:color w:val="FF0000"/>
                <w:lang w:val="en-US" w:eastAsia="zh-CN"/>
              </w:rPr>
              <w:t>(s)</w:t>
            </w:r>
            <w:r>
              <w:rPr>
                <w:color w:val="FF0000"/>
              </w:rPr>
              <w:t xml:space="preserve"> identified by the SRI, where the SRS</w:t>
            </w:r>
            <w:r>
              <w:rPr>
                <w:rFonts w:hint="eastAsia"/>
                <w:color w:val="FF0000"/>
                <w:lang w:val="en-US" w:eastAsia="zh-CN"/>
              </w:rPr>
              <w:t xml:space="preserve"> transmission</w:t>
            </w:r>
            <w:r>
              <w:rPr>
                <w:color w:val="FF0000"/>
              </w:rPr>
              <w:t xml:space="preserve"> is at least</w:t>
            </w:r>
            <w:r>
              <w:rPr>
                <w:rFonts w:hint="eastAsia"/>
                <w:color w:val="FF0000"/>
                <w:lang w:val="en-US" w:eastAsia="zh-CN"/>
              </w:rPr>
              <w:t xml:space="preserve"> N</w:t>
            </w:r>
            <w:r>
              <w:rPr>
                <w:rFonts w:hint="eastAsia"/>
                <w:color w:val="FF0000"/>
                <w:vertAlign w:val="subscript"/>
                <w:lang w:val="en-US" w:eastAsia="zh-CN"/>
              </w:rPr>
              <w:t>2</w:t>
            </w:r>
            <w:r>
              <w:rPr>
                <w:rFonts w:hint="eastAsia"/>
                <w:color w:val="FF0000"/>
                <w:lang w:val="en-US" w:eastAsia="zh-CN"/>
              </w:rPr>
              <w:t xml:space="preserve"> symbols</w:t>
            </w:r>
            <w:r>
              <w:rPr>
                <w:color w:val="FF0000"/>
              </w:rPr>
              <w:t xml:space="preserve"> prior to the P</w:t>
            </w:r>
            <w:r>
              <w:rPr>
                <w:rFonts w:hint="eastAsia"/>
                <w:color w:val="FF0000"/>
                <w:lang w:val="en-US" w:eastAsia="zh-CN"/>
              </w:rPr>
              <w:t>US</w:t>
            </w:r>
            <w:r>
              <w:rPr>
                <w:color w:val="FF0000"/>
              </w:rPr>
              <w:t xml:space="preserve">CH </w:t>
            </w:r>
            <w:r>
              <w:rPr>
                <w:rFonts w:hint="eastAsia"/>
                <w:color w:val="FF0000"/>
                <w:lang w:val="en-US" w:eastAsia="zh-CN"/>
              </w:rPr>
              <w:t>transmission, N</w:t>
            </w:r>
            <w:r>
              <w:rPr>
                <w:rFonts w:hint="eastAsia"/>
                <w:color w:val="FF0000"/>
                <w:vertAlign w:val="subscript"/>
                <w:lang w:val="en-US" w:eastAsia="zh-CN"/>
              </w:rPr>
              <w:t>2</w:t>
            </w:r>
            <w:r>
              <w:rPr>
                <w:rFonts w:hint="eastAsia"/>
                <w:color w:val="FF0000"/>
                <w:lang w:val="en-US" w:eastAsia="zh-CN"/>
              </w:rPr>
              <w:t xml:space="preserve"> is described in Subclause 6.4</w:t>
            </w:r>
            <w:r>
              <w:rPr>
                <w:color w:val="FF0000"/>
                <w:lang w:val="en-US"/>
              </w:rPr>
              <w:t xml:space="preserve">. </w:t>
            </w:r>
            <w:proofErr w:type="spellStart"/>
            <w:r>
              <w:rPr>
                <w:color w:val="FF0000"/>
                <w:lang w:val="en-US"/>
              </w:rPr>
              <w:t>Otherwise</w:t>
            </w:r>
            <w:proofErr w:type="gramStart"/>
            <w:r>
              <w:rPr>
                <w:color w:val="FF0000"/>
                <w:lang w:val="en-US"/>
              </w:rPr>
              <w:t>,</w:t>
            </w:r>
            <w:r>
              <w:rPr>
                <w:strike/>
                <w:color w:val="000000"/>
                <w:lang w:val="en-US" w:eastAsia="zh-CN"/>
              </w:rPr>
              <w:t>T</w:t>
            </w:r>
            <w:r>
              <w:rPr>
                <w:rFonts w:hint="eastAsia"/>
                <w:color w:val="FF0000"/>
                <w:lang w:val="en-US" w:eastAsia="zh-CN"/>
              </w:rPr>
              <w:t>t</w:t>
            </w:r>
            <w:proofErr w:type="spellEnd"/>
            <w:r>
              <w:rPr>
                <w:color w:val="000000"/>
              </w:rPr>
              <w:t>he</w:t>
            </w:r>
            <w:proofErr w:type="gramEnd"/>
            <w:r>
              <w:rPr>
                <w:color w:val="000000"/>
              </w:rPr>
              <w:t xml:space="preserv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0FF7E1EA" w14:textId="77777777" w:rsidR="00114BB3" w:rsidRDefault="00114BB3">
            <w:pPr>
              <w:rPr>
                <w:color w:val="000000"/>
              </w:rPr>
            </w:pPr>
          </w:p>
          <w:p w14:paraId="0FF7E1EB" w14:textId="77777777" w:rsidR="00114BB3" w:rsidRDefault="00114BB3">
            <w:pPr>
              <w:rPr>
                <w:sz w:val="22"/>
                <w:szCs w:val="22"/>
              </w:rPr>
            </w:pPr>
          </w:p>
        </w:tc>
      </w:tr>
    </w:tbl>
    <w:p w14:paraId="0FF7E1ED" w14:textId="77777777" w:rsidR="00114BB3" w:rsidRDefault="00114BB3">
      <w:pPr>
        <w:ind w:firstLine="284"/>
        <w:jc w:val="both"/>
        <w:rPr>
          <w:sz w:val="22"/>
          <w:szCs w:val="22"/>
        </w:rPr>
      </w:pPr>
    </w:p>
    <w:p w14:paraId="0FF7E1EE" w14:textId="77777777" w:rsidR="00114BB3" w:rsidRDefault="00E91552">
      <w:pPr>
        <w:ind w:firstLine="284"/>
        <w:jc w:val="both"/>
        <w:rPr>
          <w:sz w:val="22"/>
          <w:szCs w:val="22"/>
        </w:rPr>
      </w:pPr>
      <w:r>
        <w:rPr>
          <w:sz w:val="22"/>
          <w:szCs w:val="22"/>
        </w:rPr>
        <w:t>Company’s views and comments for the following draft CR.</w:t>
      </w:r>
    </w:p>
    <w:p w14:paraId="0FF7E1EF" w14:textId="77777777" w:rsidR="00114BB3" w:rsidRDefault="00E91552">
      <w:pPr>
        <w:ind w:firstLine="284"/>
        <w:jc w:val="both"/>
        <w:rPr>
          <w:sz w:val="22"/>
          <w:szCs w:val="22"/>
        </w:rPr>
      </w:pPr>
      <w:r>
        <w:rPr>
          <w:sz w:val="22"/>
          <w:szCs w:val="22"/>
        </w:rPr>
        <w:t>R1-1904754</w:t>
      </w:r>
      <w:r>
        <w:rPr>
          <w:sz w:val="22"/>
          <w:szCs w:val="22"/>
        </w:rPr>
        <w:tab/>
        <w:t xml:space="preserve">Draft CR on time domain </w:t>
      </w:r>
      <w:proofErr w:type="spellStart"/>
      <w:r>
        <w:rPr>
          <w:sz w:val="22"/>
          <w:szCs w:val="22"/>
        </w:rPr>
        <w:t>behavior</w:t>
      </w:r>
      <w:proofErr w:type="spellEnd"/>
      <w:r>
        <w:rPr>
          <w:sz w:val="22"/>
          <w:szCs w:val="22"/>
        </w:rPr>
        <w:t xml:space="preserve"> of SRS for configured grant PUSCH</w:t>
      </w:r>
      <w:r>
        <w:rPr>
          <w:sz w:val="22"/>
          <w:szCs w:val="22"/>
        </w:rPr>
        <w:tab/>
        <w:t>ZTE</w:t>
      </w:r>
    </w:p>
    <w:tbl>
      <w:tblPr>
        <w:tblStyle w:val="GridTable4-Accent51"/>
        <w:tblW w:w="10160" w:type="dxa"/>
        <w:tblLayout w:type="fixed"/>
        <w:tblLook w:val="04A0" w:firstRow="1" w:lastRow="0" w:firstColumn="1" w:lastColumn="0" w:noHBand="0" w:noVBand="1"/>
      </w:tblPr>
      <w:tblGrid>
        <w:gridCol w:w="2972"/>
        <w:gridCol w:w="7188"/>
      </w:tblGrid>
      <w:tr w:rsidR="00114BB3" w14:paraId="0FF7E1F2" w14:textId="77777777" w:rsidTr="00114B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FF7E1F0" w14:textId="77777777" w:rsidR="00114BB3" w:rsidRDefault="00E91552">
            <w:pPr>
              <w:jc w:val="both"/>
              <w:rPr>
                <w:sz w:val="22"/>
                <w:szCs w:val="22"/>
              </w:rPr>
            </w:pPr>
            <w:r>
              <w:rPr>
                <w:sz w:val="22"/>
                <w:szCs w:val="22"/>
              </w:rPr>
              <w:t>Company</w:t>
            </w:r>
          </w:p>
        </w:tc>
        <w:tc>
          <w:tcPr>
            <w:tcW w:w="7188" w:type="dxa"/>
          </w:tcPr>
          <w:p w14:paraId="0FF7E1F1" w14:textId="77777777" w:rsidR="00114BB3" w:rsidRDefault="00E9155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114BB3" w14:paraId="0FF7E1F5" w14:textId="77777777" w:rsidTr="00114BB3">
        <w:tc>
          <w:tcPr>
            <w:cnfStyle w:val="001000000000" w:firstRow="0" w:lastRow="0" w:firstColumn="1" w:lastColumn="0" w:oddVBand="0" w:evenVBand="0" w:oddHBand="0" w:evenHBand="0" w:firstRowFirstColumn="0" w:firstRowLastColumn="0" w:lastRowFirstColumn="0" w:lastRowLastColumn="0"/>
            <w:tcW w:w="2972" w:type="dxa"/>
            <w:shd w:val="clear" w:color="auto" w:fill="D9E2F3" w:themeFill="accent5" w:themeFillTint="33"/>
          </w:tcPr>
          <w:p w14:paraId="0FF7E1F3" w14:textId="77777777" w:rsidR="00114BB3" w:rsidRDefault="00E91552">
            <w:pPr>
              <w:jc w:val="both"/>
              <w:rPr>
                <w:sz w:val="22"/>
                <w:szCs w:val="22"/>
              </w:rPr>
            </w:pPr>
            <w:r>
              <w:rPr>
                <w:sz w:val="22"/>
                <w:szCs w:val="22"/>
              </w:rPr>
              <w:lastRenderedPageBreak/>
              <w:t>Intel</w:t>
            </w:r>
          </w:p>
        </w:tc>
        <w:tc>
          <w:tcPr>
            <w:tcW w:w="7188" w:type="dxa"/>
            <w:shd w:val="clear" w:color="auto" w:fill="D9E2F3" w:themeFill="accent5" w:themeFillTint="33"/>
          </w:tcPr>
          <w:p w14:paraId="0FF7E1F4" w14:textId="77777777" w:rsidR="00114BB3" w:rsidRDefault="00E9155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This CR does not solve the problem. For periodic SRS, UE is still able to change the Tx beam in different instance, e.g. in different time instances different UE beams could be used to receive the DL RS indicated in spatial relation info for periodic SRS, then it is still unclear which Tx beam should be applied to PUSCH for configured grant. A simple solution could be after UE changes Tx beam for SRS, it could change the Tx beam for corresponding PUSCH.</w:t>
            </w:r>
          </w:p>
        </w:tc>
      </w:tr>
      <w:tr w:rsidR="00114BB3" w14:paraId="0FF7E1FA" w14:textId="77777777" w:rsidTr="00114BB3">
        <w:tc>
          <w:tcPr>
            <w:cnfStyle w:val="001000000000" w:firstRow="0" w:lastRow="0" w:firstColumn="1" w:lastColumn="0" w:oddVBand="0" w:evenVBand="0" w:oddHBand="0" w:evenHBand="0" w:firstRowFirstColumn="0" w:firstRowLastColumn="0" w:lastRowFirstColumn="0" w:lastRowLastColumn="0"/>
            <w:tcW w:w="2972" w:type="dxa"/>
            <w:shd w:val="clear" w:color="auto" w:fill="D9E2F3" w:themeFill="accent5" w:themeFillTint="33"/>
          </w:tcPr>
          <w:p w14:paraId="0FF7E1F6" w14:textId="77777777" w:rsidR="00114BB3" w:rsidRDefault="00E91552">
            <w:pPr>
              <w:jc w:val="both"/>
              <w:rPr>
                <w:sz w:val="22"/>
                <w:szCs w:val="22"/>
                <w:lang w:val="en-US" w:eastAsia="zh-CN"/>
              </w:rPr>
            </w:pPr>
            <w:r>
              <w:rPr>
                <w:rFonts w:hint="eastAsia"/>
                <w:sz w:val="22"/>
                <w:szCs w:val="22"/>
                <w:lang w:val="en-US" w:eastAsia="zh-CN"/>
              </w:rPr>
              <w:t>ZTE</w:t>
            </w:r>
          </w:p>
        </w:tc>
        <w:tc>
          <w:tcPr>
            <w:tcW w:w="7188" w:type="dxa"/>
            <w:shd w:val="clear" w:color="auto" w:fill="D9E2F3" w:themeFill="accent5" w:themeFillTint="33"/>
          </w:tcPr>
          <w:p w14:paraId="0FF7E1F7" w14:textId="77777777" w:rsidR="00114BB3" w:rsidRDefault="00E9155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 xml:space="preserve">After offline </w:t>
            </w:r>
            <w:r>
              <w:rPr>
                <w:sz w:val="22"/>
                <w:szCs w:val="22"/>
                <w:lang w:val="en-US" w:eastAsia="zh-CN"/>
              </w:rPr>
              <w:t>discussion</w:t>
            </w:r>
            <w:r>
              <w:rPr>
                <w:rFonts w:hint="eastAsia"/>
                <w:sz w:val="22"/>
                <w:szCs w:val="22"/>
                <w:lang w:val="en-US" w:eastAsia="zh-CN"/>
              </w:rPr>
              <w:t xml:space="preserve"> with Intel, I think Intel</w:t>
            </w:r>
            <w:r>
              <w:rPr>
                <w:sz w:val="22"/>
                <w:szCs w:val="22"/>
                <w:lang w:val="en-US" w:eastAsia="zh-CN"/>
              </w:rPr>
              <w:t>’</w:t>
            </w:r>
            <w:r>
              <w:rPr>
                <w:rFonts w:hint="eastAsia"/>
                <w:sz w:val="22"/>
                <w:szCs w:val="22"/>
                <w:lang w:val="en-US" w:eastAsia="zh-CN"/>
              </w:rPr>
              <w:t xml:space="preserve">s intention is to clarify the timing for type 1 configured grant PUSCH. In this case, one straightforward way is to use most recent SRS transmission which is N2 symbols before the type 1 grant free PUSCH. N2 is the </w:t>
            </w:r>
            <w:r>
              <w:rPr>
                <w:sz w:val="22"/>
                <w:szCs w:val="22"/>
                <w:lang w:val="en-US" w:eastAsia="zh-CN"/>
              </w:rPr>
              <w:t xml:space="preserve">minimum </w:t>
            </w:r>
            <w:r>
              <w:rPr>
                <w:rFonts w:hint="eastAsia"/>
                <w:sz w:val="22"/>
                <w:szCs w:val="22"/>
                <w:lang w:val="en-US" w:eastAsia="zh-CN"/>
              </w:rPr>
              <w:t>time between PDCCH and PUSCH.</w:t>
            </w:r>
            <w:r>
              <w:rPr>
                <w:sz w:val="22"/>
                <w:szCs w:val="22"/>
                <w:lang w:val="en-US" w:eastAsia="zh-CN"/>
              </w:rPr>
              <w:t xml:space="preserve"> </w:t>
            </w:r>
            <w:r>
              <w:rPr>
                <w:rFonts w:hint="eastAsia"/>
                <w:sz w:val="22"/>
                <w:szCs w:val="22"/>
                <w:lang w:val="en-US" w:eastAsia="zh-CN"/>
              </w:rPr>
              <w:t>This solution makes all AP/SP/P SRS work well, but it may have non-compatibility. Based on this solution, another change is provided as above Alt.2. Maybe we need to see other companies</w:t>
            </w:r>
            <w:r>
              <w:rPr>
                <w:sz w:val="22"/>
                <w:szCs w:val="22"/>
                <w:lang w:val="en-US" w:eastAsia="zh-CN"/>
              </w:rPr>
              <w:t>’</w:t>
            </w:r>
            <w:r>
              <w:rPr>
                <w:rFonts w:hint="eastAsia"/>
                <w:sz w:val="22"/>
                <w:szCs w:val="22"/>
                <w:lang w:val="en-US" w:eastAsia="zh-CN"/>
              </w:rPr>
              <w:t xml:space="preserve"> views.</w:t>
            </w:r>
          </w:p>
          <w:p w14:paraId="0FF7E1F8" w14:textId="77777777" w:rsidR="00114BB3" w:rsidRDefault="00E9155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To Intel, please correct me if my understanding on your intention is not right.</w:t>
            </w:r>
          </w:p>
          <w:p w14:paraId="0FF7E1F9" w14:textId="77777777" w:rsidR="00114BB3" w:rsidRDefault="00E9155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For our CR, i.e. above Alt.1, the AP/SP SRS is restricted. That</w:t>
            </w:r>
            <w:r>
              <w:rPr>
                <w:sz w:val="22"/>
                <w:szCs w:val="22"/>
                <w:lang w:val="en-US" w:eastAsia="zh-CN"/>
              </w:rPr>
              <w:t>’</w:t>
            </w:r>
            <w:r>
              <w:rPr>
                <w:rFonts w:hint="eastAsia"/>
                <w:sz w:val="22"/>
                <w:szCs w:val="22"/>
                <w:lang w:val="en-US" w:eastAsia="zh-CN"/>
              </w:rPr>
              <w:t xml:space="preserve">s because SP/AP CSI-RS can be the source of spatial relation for the A/SP SRS. Since the TCI of SP/AP CSI-RS can be changed slot by slot, it implies the receive beam for the SRS reception at gNB can also change slot by slot. Then gNB must know the timing of SRS for PUSCH. Otherwise, gNB does not know which receive beam is used. This needs to be clarified in the spec. But may have backward compatibility.    However, for P SRS, only P CSI-RS can be the source of spatial relation.  Even UE did P3, the SRS transit beam change is UE implementation, </w:t>
            </w:r>
            <w:proofErr w:type="spellStart"/>
            <w:r>
              <w:rPr>
                <w:rFonts w:hint="eastAsia"/>
                <w:sz w:val="22"/>
                <w:szCs w:val="22"/>
                <w:lang w:val="en-US" w:eastAsia="zh-CN"/>
              </w:rPr>
              <w:t>gNB</w:t>
            </w:r>
            <w:r>
              <w:rPr>
                <w:sz w:val="22"/>
                <w:szCs w:val="22"/>
                <w:lang w:val="en-US" w:eastAsia="zh-CN"/>
              </w:rPr>
              <w:t>’</w:t>
            </w:r>
            <w:r>
              <w:rPr>
                <w:rFonts w:hint="eastAsia"/>
                <w:sz w:val="22"/>
                <w:szCs w:val="22"/>
                <w:lang w:val="en-US" w:eastAsia="zh-CN"/>
              </w:rPr>
              <w:t>s</w:t>
            </w:r>
            <w:proofErr w:type="spellEnd"/>
            <w:r>
              <w:rPr>
                <w:rFonts w:hint="eastAsia"/>
                <w:sz w:val="22"/>
                <w:szCs w:val="22"/>
                <w:lang w:val="en-US" w:eastAsia="zh-CN"/>
              </w:rPr>
              <w:t xml:space="preserve"> receive beam for the SRS/PUSCH reception is just the same as the P CSI-RS</w:t>
            </w:r>
            <w:proofErr w:type="gramStart"/>
            <w:r>
              <w:rPr>
                <w:rFonts w:hint="eastAsia"/>
                <w:sz w:val="22"/>
                <w:szCs w:val="22"/>
                <w:lang w:val="en-US" w:eastAsia="zh-CN"/>
              </w:rPr>
              <w:t>,  and</w:t>
            </w:r>
            <w:proofErr w:type="gramEnd"/>
            <w:r>
              <w:rPr>
                <w:rFonts w:hint="eastAsia"/>
                <w:sz w:val="22"/>
                <w:szCs w:val="22"/>
                <w:lang w:val="en-US" w:eastAsia="zh-CN"/>
              </w:rPr>
              <w:t xml:space="preserve"> not changed. So it does not impact implementation at both gNB and UE sides.</w:t>
            </w:r>
          </w:p>
        </w:tc>
      </w:tr>
      <w:tr w:rsidR="00B5795B" w14:paraId="2B6319B8" w14:textId="77777777" w:rsidTr="00114BB3">
        <w:tc>
          <w:tcPr>
            <w:cnfStyle w:val="001000000000" w:firstRow="0" w:lastRow="0" w:firstColumn="1" w:lastColumn="0" w:oddVBand="0" w:evenVBand="0" w:oddHBand="0" w:evenHBand="0" w:firstRowFirstColumn="0" w:firstRowLastColumn="0" w:lastRowFirstColumn="0" w:lastRowLastColumn="0"/>
            <w:tcW w:w="2972" w:type="dxa"/>
            <w:shd w:val="clear" w:color="auto" w:fill="D9E2F3" w:themeFill="accent5" w:themeFillTint="33"/>
          </w:tcPr>
          <w:p w14:paraId="2F991C71" w14:textId="56B3672B" w:rsidR="00B5795B" w:rsidRDefault="00B5795B">
            <w:pPr>
              <w:jc w:val="both"/>
              <w:rPr>
                <w:b w:val="0"/>
                <w:bCs w:val="0"/>
                <w:sz w:val="22"/>
                <w:szCs w:val="22"/>
                <w:lang w:val="en-US" w:eastAsia="zh-CN"/>
              </w:rPr>
            </w:pPr>
            <w:r>
              <w:rPr>
                <w:b w:val="0"/>
                <w:bCs w:val="0"/>
                <w:sz w:val="22"/>
                <w:szCs w:val="22"/>
                <w:lang w:val="en-US" w:eastAsia="zh-CN"/>
              </w:rPr>
              <w:t>Qualcomm</w:t>
            </w:r>
          </w:p>
        </w:tc>
        <w:tc>
          <w:tcPr>
            <w:tcW w:w="7188" w:type="dxa"/>
            <w:shd w:val="clear" w:color="auto" w:fill="D9E2F3" w:themeFill="accent5" w:themeFillTint="33"/>
          </w:tcPr>
          <w:p w14:paraId="7E71156A" w14:textId="77777777" w:rsidR="00581A33" w:rsidRDefault="00B5795B">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 xml:space="preserve">Do not support the CR. </w:t>
            </w:r>
          </w:p>
          <w:p w14:paraId="6B3A7D23" w14:textId="1E6A08BB" w:rsidR="00581A33" w:rsidRDefault="00581A33">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For Alt1</w:t>
            </w:r>
            <w:r w:rsidR="00B5795B">
              <w:rPr>
                <w:sz w:val="22"/>
                <w:szCs w:val="22"/>
                <w:lang w:val="en-US" w:eastAsia="zh-CN"/>
              </w:rPr>
              <w:t>, restricting to periodic SRS causes non-backward compatibility. An existing UE may implement using AP/SP SRS as the associated resource for configured grant PUSCH. Th</w:t>
            </w:r>
            <w:r w:rsidR="00E91552">
              <w:rPr>
                <w:sz w:val="22"/>
                <w:szCs w:val="22"/>
                <w:lang w:val="en-US" w:eastAsia="zh-CN"/>
              </w:rPr>
              <w:t>e</w:t>
            </w:r>
            <w:r w:rsidR="00B5795B">
              <w:rPr>
                <w:sz w:val="22"/>
                <w:szCs w:val="22"/>
                <w:lang w:val="en-US" w:eastAsia="zh-CN"/>
              </w:rPr>
              <w:t xml:space="preserve"> restriction</w:t>
            </w:r>
            <w:r w:rsidR="00E91552">
              <w:rPr>
                <w:sz w:val="22"/>
                <w:szCs w:val="22"/>
                <w:lang w:val="en-US" w:eastAsia="zh-CN"/>
              </w:rPr>
              <w:t xml:space="preserve"> in Alt1</w:t>
            </w:r>
            <w:r w:rsidR="00B5795B">
              <w:rPr>
                <w:sz w:val="22"/>
                <w:szCs w:val="22"/>
                <w:lang w:val="en-US" w:eastAsia="zh-CN"/>
              </w:rPr>
              <w:t xml:space="preserve"> may change UE implementation. Moreover, as pointed out by Intel, restricting to periodic SRS does not solve the problem, because UE has the flexibility to change the Tx spatial filter based on the reception of DL-RS. </w:t>
            </w:r>
          </w:p>
          <w:p w14:paraId="0203C570" w14:textId="701ED20A" w:rsidR="00620AC5" w:rsidRDefault="00581A33">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For Alt2, the N2 timing is</w:t>
            </w:r>
            <w:r w:rsidR="008C11C4">
              <w:rPr>
                <w:sz w:val="22"/>
                <w:szCs w:val="22"/>
                <w:lang w:val="en-US" w:eastAsia="zh-CN"/>
              </w:rPr>
              <w:t xml:space="preserve"> the preparation time</w:t>
            </w:r>
            <w:r>
              <w:rPr>
                <w:sz w:val="22"/>
                <w:szCs w:val="22"/>
                <w:lang w:val="en-US" w:eastAsia="zh-CN"/>
              </w:rPr>
              <w:t xml:space="preserve"> for dynamically granted PUSCH, whether it is appropriate to be applied to the timing between associated SRS occasion and configured grant PUSCH </w:t>
            </w:r>
            <w:r w:rsidR="008C11C4">
              <w:rPr>
                <w:sz w:val="22"/>
                <w:szCs w:val="22"/>
                <w:lang w:val="en-US" w:eastAsia="zh-CN"/>
              </w:rPr>
              <w:t xml:space="preserve">is not clear to us and </w:t>
            </w:r>
            <w:r>
              <w:rPr>
                <w:sz w:val="22"/>
                <w:szCs w:val="22"/>
                <w:lang w:val="en-US" w:eastAsia="zh-CN"/>
              </w:rPr>
              <w:t>has not been studied. The curr</w:t>
            </w:r>
            <w:r w:rsidR="00620AC5">
              <w:rPr>
                <w:sz w:val="22"/>
                <w:szCs w:val="22"/>
                <w:lang w:val="en-US" w:eastAsia="zh-CN"/>
              </w:rPr>
              <w:t>ent spec leaves it open for UE implementation, so Alt2 may cause non-backward compatibility.</w:t>
            </w:r>
          </w:p>
          <w:p w14:paraId="1FE4E648" w14:textId="38B0D6E9" w:rsidR="00B5795B" w:rsidRDefault="00620AC5">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Moreover, type 2 configured grant PUSCH may have the same problem, because the associated SRS resource for type 2 can be AP/SP/P and UE may change the Tx spatial filter as well. So, if companies think the associated SRS occasion is an essential issue to be fixed, solutions for both type 1 and type 2 need to be considered.</w:t>
            </w:r>
            <w:r w:rsidR="00581A33">
              <w:rPr>
                <w:sz w:val="22"/>
                <w:szCs w:val="22"/>
                <w:lang w:val="en-US" w:eastAsia="zh-CN"/>
              </w:rPr>
              <w:t xml:space="preserve"> </w:t>
            </w:r>
          </w:p>
        </w:tc>
      </w:tr>
    </w:tbl>
    <w:p w14:paraId="0FF7E1FB" w14:textId="77777777" w:rsidR="00114BB3" w:rsidRDefault="00114BB3">
      <w:pPr>
        <w:ind w:firstLine="284"/>
        <w:jc w:val="both"/>
        <w:rPr>
          <w:sz w:val="22"/>
          <w:szCs w:val="22"/>
        </w:rPr>
      </w:pPr>
    </w:p>
    <w:p w14:paraId="0FF7E1FC" w14:textId="77777777" w:rsidR="00114BB3" w:rsidRDefault="00114BB3">
      <w:pPr>
        <w:ind w:firstLine="284"/>
        <w:jc w:val="both"/>
        <w:rPr>
          <w:sz w:val="22"/>
          <w:szCs w:val="22"/>
          <w:lang w:val="en-US" w:eastAsia="zh-CN"/>
        </w:rPr>
      </w:pPr>
    </w:p>
    <w:p w14:paraId="0FF7E1FD" w14:textId="77777777" w:rsidR="00114BB3" w:rsidRDefault="00114BB3">
      <w:pPr>
        <w:ind w:firstLine="284"/>
        <w:jc w:val="both"/>
        <w:rPr>
          <w:sz w:val="22"/>
          <w:szCs w:val="22"/>
          <w:lang w:val="en-US" w:eastAsia="zh-CN"/>
        </w:rPr>
      </w:pPr>
    </w:p>
    <w:sectPr w:rsidR="00114BB3">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7E206" w14:textId="77777777" w:rsidR="00F4581B" w:rsidRDefault="00E91552">
      <w:pPr>
        <w:spacing w:after="0" w:line="240" w:lineRule="auto"/>
      </w:pPr>
      <w:r>
        <w:separator/>
      </w:r>
    </w:p>
  </w:endnote>
  <w:endnote w:type="continuationSeparator" w:id="0">
    <w:p w14:paraId="0FF7E208" w14:textId="77777777" w:rsidR="00F4581B" w:rsidRDefault="00E91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7E1FF" w14:textId="77777777" w:rsidR="00114BB3" w:rsidRDefault="00E915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F7E200" w14:textId="77777777" w:rsidR="00114BB3" w:rsidRDefault="00114B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7E201" w14:textId="77777777" w:rsidR="00114BB3" w:rsidRDefault="00E91552">
    <w:pPr>
      <w:pStyle w:val="Footer"/>
      <w:ind w:right="360"/>
    </w:pPr>
    <w:r>
      <w:rPr>
        <w:rStyle w:val="PageNumber"/>
      </w:rPr>
      <w:fldChar w:fldCharType="begin"/>
    </w:r>
    <w:r>
      <w:rPr>
        <w:rStyle w:val="PageNumber"/>
      </w:rPr>
      <w:instrText xml:space="preserve"> PAGE </w:instrText>
    </w:r>
    <w:r>
      <w:rPr>
        <w:rStyle w:val="PageNumber"/>
      </w:rPr>
      <w:fldChar w:fldCharType="separate"/>
    </w:r>
    <w:r w:rsidR="00682F17">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F17">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7E202" w14:textId="77777777" w:rsidR="00F4581B" w:rsidRDefault="00E91552">
      <w:pPr>
        <w:spacing w:after="0" w:line="240" w:lineRule="auto"/>
      </w:pPr>
      <w:r>
        <w:separator/>
      </w:r>
    </w:p>
  </w:footnote>
  <w:footnote w:type="continuationSeparator" w:id="0">
    <w:p w14:paraId="0FF7E204" w14:textId="77777777" w:rsidR="00F4581B" w:rsidRDefault="00E915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7E1FE" w14:textId="77777777" w:rsidR="00114BB3" w:rsidRDefault="00E91552">
    <w:r>
      <w:t xml:space="preserve">Page </w:t>
    </w:r>
    <w:r>
      <w:fldChar w:fldCharType="begin"/>
    </w:r>
    <w:r>
      <w:instrText>PAGE</w:instrText>
    </w:r>
    <w:r>
      <w:fldChar w:fldCharType="separate"/>
    </w:r>
    <w: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94"/>
    <w:rsid w:val="000162B2"/>
    <w:rsid w:val="00016A80"/>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FF2"/>
    <w:rsid w:val="000426B1"/>
    <w:rsid w:val="00042BFC"/>
    <w:rsid w:val="000430CF"/>
    <w:rsid w:val="00043703"/>
    <w:rsid w:val="00043F2A"/>
    <w:rsid w:val="00043F71"/>
    <w:rsid w:val="0004403C"/>
    <w:rsid w:val="00044225"/>
    <w:rsid w:val="00044359"/>
    <w:rsid w:val="00044576"/>
    <w:rsid w:val="00044FC4"/>
    <w:rsid w:val="0004516E"/>
    <w:rsid w:val="000451E5"/>
    <w:rsid w:val="000453F6"/>
    <w:rsid w:val="00045964"/>
    <w:rsid w:val="00046772"/>
    <w:rsid w:val="00046CD6"/>
    <w:rsid w:val="00046CE4"/>
    <w:rsid w:val="00046F90"/>
    <w:rsid w:val="00046F9A"/>
    <w:rsid w:val="0004713D"/>
    <w:rsid w:val="000472F3"/>
    <w:rsid w:val="0004742E"/>
    <w:rsid w:val="000475B5"/>
    <w:rsid w:val="000477BB"/>
    <w:rsid w:val="00047A82"/>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87E"/>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1564"/>
    <w:rsid w:val="00082152"/>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5F5"/>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20"/>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2ED6"/>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2D1"/>
    <w:rsid w:val="000E5830"/>
    <w:rsid w:val="000E5C1A"/>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07C"/>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BED"/>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BB3"/>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60B"/>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6D6"/>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5B"/>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219"/>
    <w:rsid w:val="0016383C"/>
    <w:rsid w:val="001639BC"/>
    <w:rsid w:val="001639E6"/>
    <w:rsid w:val="00163AFC"/>
    <w:rsid w:val="0016418A"/>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B3"/>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86"/>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10"/>
    <w:rsid w:val="00192D98"/>
    <w:rsid w:val="001937FE"/>
    <w:rsid w:val="00193987"/>
    <w:rsid w:val="00194465"/>
    <w:rsid w:val="00194796"/>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434"/>
    <w:rsid w:val="001D562F"/>
    <w:rsid w:val="001D57BC"/>
    <w:rsid w:val="001D5990"/>
    <w:rsid w:val="001D5E31"/>
    <w:rsid w:val="001D6433"/>
    <w:rsid w:val="001D6E61"/>
    <w:rsid w:val="001D6F30"/>
    <w:rsid w:val="001D7260"/>
    <w:rsid w:val="001D7596"/>
    <w:rsid w:val="001D7816"/>
    <w:rsid w:val="001D7B96"/>
    <w:rsid w:val="001D7EFB"/>
    <w:rsid w:val="001D7FE2"/>
    <w:rsid w:val="001E09F4"/>
    <w:rsid w:val="001E0A73"/>
    <w:rsid w:val="001E0CA2"/>
    <w:rsid w:val="001E111F"/>
    <w:rsid w:val="001E1284"/>
    <w:rsid w:val="001E13E0"/>
    <w:rsid w:val="001E1524"/>
    <w:rsid w:val="001E1D3C"/>
    <w:rsid w:val="001E1E5F"/>
    <w:rsid w:val="001E1FD2"/>
    <w:rsid w:val="001E220A"/>
    <w:rsid w:val="001E23C7"/>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0FB"/>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6C3"/>
    <w:rsid w:val="00213851"/>
    <w:rsid w:val="00213F38"/>
    <w:rsid w:val="002140D1"/>
    <w:rsid w:val="002145A2"/>
    <w:rsid w:val="00214E0D"/>
    <w:rsid w:val="00214E9B"/>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226"/>
    <w:rsid w:val="00232922"/>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199"/>
    <w:rsid w:val="002817B4"/>
    <w:rsid w:val="00282371"/>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800"/>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594"/>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753"/>
    <w:rsid w:val="002E38B7"/>
    <w:rsid w:val="002E43BA"/>
    <w:rsid w:val="002E4DC0"/>
    <w:rsid w:val="002E5290"/>
    <w:rsid w:val="002E58E1"/>
    <w:rsid w:val="002E5B09"/>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C88"/>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7C7"/>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59"/>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667"/>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3FF"/>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04"/>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0FA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050"/>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1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AF2"/>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3C0"/>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6F"/>
    <w:rsid w:val="00474FB4"/>
    <w:rsid w:val="00475131"/>
    <w:rsid w:val="00475260"/>
    <w:rsid w:val="004755D5"/>
    <w:rsid w:val="0047574D"/>
    <w:rsid w:val="00475918"/>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C48"/>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788"/>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05A"/>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358"/>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5F"/>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836"/>
    <w:rsid w:val="00521D65"/>
    <w:rsid w:val="00521DF0"/>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574"/>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A33"/>
    <w:rsid w:val="00581F00"/>
    <w:rsid w:val="00581F40"/>
    <w:rsid w:val="005829CC"/>
    <w:rsid w:val="00582C9A"/>
    <w:rsid w:val="00582E3D"/>
    <w:rsid w:val="00583147"/>
    <w:rsid w:val="00583526"/>
    <w:rsid w:val="00583595"/>
    <w:rsid w:val="005836D0"/>
    <w:rsid w:val="00583B29"/>
    <w:rsid w:val="00583C6C"/>
    <w:rsid w:val="00583E78"/>
    <w:rsid w:val="00584269"/>
    <w:rsid w:val="00584496"/>
    <w:rsid w:val="00584F8D"/>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6F9D"/>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BE2"/>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4DC"/>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620"/>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D31"/>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55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0AC5"/>
    <w:rsid w:val="00621626"/>
    <w:rsid w:val="00621B6A"/>
    <w:rsid w:val="00621C0B"/>
    <w:rsid w:val="00621C72"/>
    <w:rsid w:val="00621C7C"/>
    <w:rsid w:val="00621CAD"/>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66F"/>
    <w:rsid w:val="00653CFE"/>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2F17"/>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4B"/>
    <w:rsid w:val="006B18AF"/>
    <w:rsid w:val="006B18B8"/>
    <w:rsid w:val="006B19B2"/>
    <w:rsid w:val="006B1DA2"/>
    <w:rsid w:val="006B1F5F"/>
    <w:rsid w:val="006B1FA7"/>
    <w:rsid w:val="006B20F8"/>
    <w:rsid w:val="006B21E9"/>
    <w:rsid w:val="006B242D"/>
    <w:rsid w:val="006B2744"/>
    <w:rsid w:val="006B3604"/>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B7C73"/>
    <w:rsid w:val="006C03B2"/>
    <w:rsid w:val="006C09DD"/>
    <w:rsid w:val="006C0A1A"/>
    <w:rsid w:val="006C1B3F"/>
    <w:rsid w:val="006C20C0"/>
    <w:rsid w:val="006C2403"/>
    <w:rsid w:val="006C2F89"/>
    <w:rsid w:val="006C375B"/>
    <w:rsid w:val="006C377A"/>
    <w:rsid w:val="006C3F40"/>
    <w:rsid w:val="006C40A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BD8"/>
    <w:rsid w:val="006D43BD"/>
    <w:rsid w:val="006D46A2"/>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0EE"/>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7BF"/>
    <w:rsid w:val="00725068"/>
    <w:rsid w:val="007250C0"/>
    <w:rsid w:val="007254A9"/>
    <w:rsid w:val="007254B1"/>
    <w:rsid w:val="007255B9"/>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74B"/>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4B0"/>
    <w:rsid w:val="007624B9"/>
    <w:rsid w:val="00762669"/>
    <w:rsid w:val="00762924"/>
    <w:rsid w:val="0076295C"/>
    <w:rsid w:val="00762A84"/>
    <w:rsid w:val="00763055"/>
    <w:rsid w:val="00763272"/>
    <w:rsid w:val="0076357A"/>
    <w:rsid w:val="0076375B"/>
    <w:rsid w:val="00763D32"/>
    <w:rsid w:val="00764140"/>
    <w:rsid w:val="00764340"/>
    <w:rsid w:val="0076442F"/>
    <w:rsid w:val="00764832"/>
    <w:rsid w:val="00764D5F"/>
    <w:rsid w:val="00764E4E"/>
    <w:rsid w:val="00764EB8"/>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4D1B"/>
    <w:rsid w:val="00795391"/>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E3A"/>
    <w:rsid w:val="007A0F46"/>
    <w:rsid w:val="007A1189"/>
    <w:rsid w:val="007A15BA"/>
    <w:rsid w:val="007A166E"/>
    <w:rsid w:val="007A17C0"/>
    <w:rsid w:val="007A1B63"/>
    <w:rsid w:val="007A2BFF"/>
    <w:rsid w:val="007A2DE7"/>
    <w:rsid w:val="007A300F"/>
    <w:rsid w:val="007A3040"/>
    <w:rsid w:val="007A30CD"/>
    <w:rsid w:val="007A3373"/>
    <w:rsid w:val="007A3376"/>
    <w:rsid w:val="007A3395"/>
    <w:rsid w:val="007A34A1"/>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B"/>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A08"/>
    <w:rsid w:val="007E6D0A"/>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2C0"/>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252"/>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0EE"/>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B0D"/>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5E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40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1B9"/>
    <w:rsid w:val="008B68DD"/>
    <w:rsid w:val="008B6904"/>
    <w:rsid w:val="008B6E5C"/>
    <w:rsid w:val="008B7394"/>
    <w:rsid w:val="008B766A"/>
    <w:rsid w:val="008B7A0E"/>
    <w:rsid w:val="008C0259"/>
    <w:rsid w:val="008C0FB9"/>
    <w:rsid w:val="008C11C4"/>
    <w:rsid w:val="008C2426"/>
    <w:rsid w:val="008C2453"/>
    <w:rsid w:val="008C26B4"/>
    <w:rsid w:val="008C28BA"/>
    <w:rsid w:val="008C2FA9"/>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4AC5"/>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A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1BA"/>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1DA"/>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D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5AD"/>
    <w:rsid w:val="0099573B"/>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6DFB"/>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DBD"/>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D60"/>
    <w:rsid w:val="009C7F47"/>
    <w:rsid w:val="009D0222"/>
    <w:rsid w:val="009D0361"/>
    <w:rsid w:val="009D0720"/>
    <w:rsid w:val="009D079F"/>
    <w:rsid w:val="009D0897"/>
    <w:rsid w:val="009D08B7"/>
    <w:rsid w:val="009D0A1E"/>
    <w:rsid w:val="009D0C84"/>
    <w:rsid w:val="009D0F01"/>
    <w:rsid w:val="009D1D55"/>
    <w:rsid w:val="009D2118"/>
    <w:rsid w:val="009D22EA"/>
    <w:rsid w:val="009D2579"/>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BA"/>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30"/>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C81"/>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4A5"/>
    <w:rsid w:val="00A82665"/>
    <w:rsid w:val="00A831F0"/>
    <w:rsid w:val="00A834EC"/>
    <w:rsid w:val="00A835E7"/>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A1F"/>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0C5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4CA"/>
    <w:rsid w:val="00AE3CE1"/>
    <w:rsid w:val="00AE4264"/>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03B"/>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95B"/>
    <w:rsid w:val="00B57B14"/>
    <w:rsid w:val="00B60394"/>
    <w:rsid w:val="00B60567"/>
    <w:rsid w:val="00B60605"/>
    <w:rsid w:val="00B607B8"/>
    <w:rsid w:val="00B60DF7"/>
    <w:rsid w:val="00B60E6E"/>
    <w:rsid w:val="00B6184F"/>
    <w:rsid w:val="00B619AF"/>
    <w:rsid w:val="00B61B85"/>
    <w:rsid w:val="00B61CFF"/>
    <w:rsid w:val="00B61F53"/>
    <w:rsid w:val="00B61F70"/>
    <w:rsid w:val="00B620BC"/>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60E"/>
    <w:rsid w:val="00B66758"/>
    <w:rsid w:val="00B667A1"/>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4FC"/>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752"/>
    <w:rsid w:val="00BE1959"/>
    <w:rsid w:val="00BE197A"/>
    <w:rsid w:val="00BE1A06"/>
    <w:rsid w:val="00BE1C4D"/>
    <w:rsid w:val="00BE1CE8"/>
    <w:rsid w:val="00BE2404"/>
    <w:rsid w:val="00BE2412"/>
    <w:rsid w:val="00BE269D"/>
    <w:rsid w:val="00BE28FE"/>
    <w:rsid w:val="00BE2B2C"/>
    <w:rsid w:val="00BE312F"/>
    <w:rsid w:val="00BE3E52"/>
    <w:rsid w:val="00BE3EA0"/>
    <w:rsid w:val="00BE403F"/>
    <w:rsid w:val="00BE4593"/>
    <w:rsid w:val="00BE475F"/>
    <w:rsid w:val="00BE4A7D"/>
    <w:rsid w:val="00BE5164"/>
    <w:rsid w:val="00BE5519"/>
    <w:rsid w:val="00BE57B1"/>
    <w:rsid w:val="00BE5813"/>
    <w:rsid w:val="00BE5D30"/>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1C9"/>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2B3"/>
    <w:rsid w:val="00CB2330"/>
    <w:rsid w:val="00CB2836"/>
    <w:rsid w:val="00CB3460"/>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6D3"/>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A15"/>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92"/>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92C"/>
    <w:rsid w:val="00D12A81"/>
    <w:rsid w:val="00D12B75"/>
    <w:rsid w:val="00D12EB0"/>
    <w:rsid w:val="00D13880"/>
    <w:rsid w:val="00D1390E"/>
    <w:rsid w:val="00D13BBC"/>
    <w:rsid w:val="00D13CCD"/>
    <w:rsid w:val="00D14204"/>
    <w:rsid w:val="00D14E26"/>
    <w:rsid w:val="00D15B11"/>
    <w:rsid w:val="00D15C35"/>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DF7"/>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E5B"/>
    <w:rsid w:val="00D46F2D"/>
    <w:rsid w:val="00D471EF"/>
    <w:rsid w:val="00D475CC"/>
    <w:rsid w:val="00D477E2"/>
    <w:rsid w:val="00D47A15"/>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AD"/>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31D"/>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491"/>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A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210F"/>
    <w:rsid w:val="00E327EE"/>
    <w:rsid w:val="00E32E0E"/>
    <w:rsid w:val="00E330DC"/>
    <w:rsid w:val="00E33802"/>
    <w:rsid w:val="00E33814"/>
    <w:rsid w:val="00E339C6"/>
    <w:rsid w:val="00E33BB9"/>
    <w:rsid w:val="00E33CFE"/>
    <w:rsid w:val="00E33E4D"/>
    <w:rsid w:val="00E3457A"/>
    <w:rsid w:val="00E34F08"/>
    <w:rsid w:val="00E3506A"/>
    <w:rsid w:val="00E35EB0"/>
    <w:rsid w:val="00E35F47"/>
    <w:rsid w:val="00E362BC"/>
    <w:rsid w:val="00E377BF"/>
    <w:rsid w:val="00E37C25"/>
    <w:rsid w:val="00E37EB7"/>
    <w:rsid w:val="00E40362"/>
    <w:rsid w:val="00E40DAE"/>
    <w:rsid w:val="00E41A3E"/>
    <w:rsid w:val="00E41D2F"/>
    <w:rsid w:val="00E421DF"/>
    <w:rsid w:val="00E4265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31"/>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3F0"/>
    <w:rsid w:val="00E91514"/>
    <w:rsid w:val="00E91552"/>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EFE"/>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BFD"/>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89F"/>
    <w:rsid w:val="00F149F8"/>
    <w:rsid w:val="00F152EE"/>
    <w:rsid w:val="00F15860"/>
    <w:rsid w:val="00F16301"/>
    <w:rsid w:val="00F168C3"/>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EC"/>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5A1"/>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C2A"/>
    <w:rsid w:val="00F42373"/>
    <w:rsid w:val="00F42910"/>
    <w:rsid w:val="00F42C2B"/>
    <w:rsid w:val="00F439C5"/>
    <w:rsid w:val="00F44833"/>
    <w:rsid w:val="00F44B1E"/>
    <w:rsid w:val="00F4581B"/>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A2A"/>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2"/>
    <w:rsid w:val="00F90178"/>
    <w:rsid w:val="00F901EE"/>
    <w:rsid w:val="00F90391"/>
    <w:rsid w:val="00F9046C"/>
    <w:rsid w:val="00F906BF"/>
    <w:rsid w:val="00F90BEE"/>
    <w:rsid w:val="00F90C86"/>
    <w:rsid w:val="00F90FD6"/>
    <w:rsid w:val="00F910E4"/>
    <w:rsid w:val="00F9121B"/>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DE"/>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00"/>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E7"/>
    <w:rsid w:val="00FD43D6"/>
    <w:rsid w:val="00FD4620"/>
    <w:rsid w:val="00FD48FE"/>
    <w:rsid w:val="00FD4CC0"/>
    <w:rsid w:val="00FD5053"/>
    <w:rsid w:val="00FD552B"/>
    <w:rsid w:val="00FD5642"/>
    <w:rsid w:val="00FD6318"/>
    <w:rsid w:val="00FD681C"/>
    <w:rsid w:val="00FD6859"/>
    <w:rsid w:val="00FD6A3D"/>
    <w:rsid w:val="00FD6AE1"/>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5E3"/>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 w:val="05311326"/>
    <w:rsid w:val="0592212A"/>
    <w:rsid w:val="0891791F"/>
    <w:rsid w:val="0C3B05D2"/>
    <w:rsid w:val="0DF4000C"/>
    <w:rsid w:val="12745A99"/>
    <w:rsid w:val="14167358"/>
    <w:rsid w:val="158619E6"/>
    <w:rsid w:val="176D43E2"/>
    <w:rsid w:val="194F0B57"/>
    <w:rsid w:val="1A666A52"/>
    <w:rsid w:val="1C125788"/>
    <w:rsid w:val="245F4F68"/>
    <w:rsid w:val="27087E15"/>
    <w:rsid w:val="275D408B"/>
    <w:rsid w:val="2772104A"/>
    <w:rsid w:val="2E7432A7"/>
    <w:rsid w:val="2EAD1427"/>
    <w:rsid w:val="345F6795"/>
    <w:rsid w:val="35F17129"/>
    <w:rsid w:val="36D249CF"/>
    <w:rsid w:val="382E1D82"/>
    <w:rsid w:val="3BA74E71"/>
    <w:rsid w:val="3D094721"/>
    <w:rsid w:val="3ED277E3"/>
    <w:rsid w:val="435E7866"/>
    <w:rsid w:val="43C92F70"/>
    <w:rsid w:val="466E6CB3"/>
    <w:rsid w:val="5063082D"/>
    <w:rsid w:val="580C369B"/>
    <w:rsid w:val="58C86B42"/>
    <w:rsid w:val="58EA59CD"/>
    <w:rsid w:val="5FA70C27"/>
    <w:rsid w:val="60995253"/>
    <w:rsid w:val="64086634"/>
    <w:rsid w:val="65072CDB"/>
    <w:rsid w:val="660B4598"/>
    <w:rsid w:val="6E687B94"/>
    <w:rsid w:val="71786261"/>
    <w:rsid w:val="75C14AFD"/>
    <w:rsid w:val="79345E8A"/>
    <w:rsid w:val="7B407DE5"/>
    <w:rsid w:val="7C921C12"/>
    <w:rsid w:val="7D380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7E1BD"/>
  <w15:docId w15:val="{57373E56-CD3C-4711-86D6-3EB6F9BA7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2">
    <w:name w:val="网格表 4 - 着色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HR33RHYHUWRF-4-13238</_dlc_DocId>
    <_dlc_DocIdUrl xmlns="c06861ca-3f08-4d07-bff7-bb15bac121f4">
      <Url>https://projects.qualcomm.com/sites/pentari/_layouts/15/DocIdRedir.aspx?ID=HR33RHYHUWRF-4-13238</Url>
      <Description>HR33RHYHUWRF-4-13238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82D24-A1C0-442A-9625-0E11DBA6A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4F424EE-998F-4362-93DB-B331B2F23C9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48B248-861E-4E1B-9A2F-77BF93D7AF59}">
  <ds:schemaRefs/>
</ds:datastoreItem>
</file>

<file path=customXml/itemProps6.xml><?xml version="1.0" encoding="utf-8"?>
<ds:datastoreItem xmlns:ds="http://schemas.openxmlformats.org/officeDocument/2006/customXml" ds:itemID="{47C0C77C-D19C-4E00-B29A-F25228BB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1973</Words>
  <Characters>10150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2019-04-07T07:27:00Z</dcterms:created>
  <dcterms:modified xsi:type="dcterms:W3CDTF">2019-04-08T08:26:00Z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e907743e-58ec-41a0-928f-9cebad82786b</vt:lpwstr>
  </property>
  <property fmtid="{D5CDD505-2E9C-101B-9397-08002B2CF9AE}" pid="10" name="CTP_BU">
    <vt:lpwstr>NEXT GEN &amp; STANDARDS GROUP</vt:lpwstr>
  </property>
  <property fmtid="{D5CDD505-2E9C-101B-9397-08002B2CF9AE}" pid="11" name="CTP_TimeStamp">
    <vt:lpwstr>2019-04-08 08:26:06Z</vt:lpwstr>
  </property>
  <property fmtid="{D5CDD505-2E9C-101B-9397-08002B2CF9AE}" pid="12" name="ContentTypeId">
    <vt:lpwstr>0x010100BC29BFD66497B943AA3B102F0C7B1355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1551088172</vt:lpwstr>
  </property>
  <property fmtid="{D5CDD505-2E9C-101B-9397-08002B2CF9AE}" pid="17"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8"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9" name="KSOProductBuildVer">
    <vt:lpwstr>2052-10.8.2.7027</vt:lpwstr>
  </property>
  <property fmtid="{D5CDD505-2E9C-101B-9397-08002B2CF9AE}" pid="20" name="_dlc_DocIdItemGuid">
    <vt:lpwstr>e54d2018-5c74-4d08-af23-7f0c27857904</vt:lpwstr>
  </property>
  <property fmtid="{D5CDD505-2E9C-101B-9397-08002B2CF9AE}" pid="21" name="CTPClassification">
    <vt:lpwstr>CTP_IC</vt:lpwstr>
  </property>
</Properties>
</file>